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2F" w:rsidRDefault="00B35F2F" w:rsidP="00C84046">
      <w:pPr>
        <w:ind w:firstLine="0"/>
        <w:jc w:val="left"/>
        <w:rPr>
          <w:b/>
        </w:rPr>
      </w:pPr>
      <w:bookmarkStart w:id="0" w:name="_Toc267679976"/>
      <w:r w:rsidRPr="000109AA">
        <w:rPr>
          <w:b/>
        </w:rPr>
        <w:t>The Effect of Solar Ovens on Fuel Use, Emissions, and Health: Results from a Randomized Controlled Trial</w:t>
      </w:r>
    </w:p>
    <w:p w:rsidR="00B35F2F" w:rsidRDefault="00B35F2F" w:rsidP="00C84046">
      <w:pPr>
        <w:ind w:firstLine="0"/>
        <w:jc w:val="left"/>
      </w:pPr>
      <w:r w:rsidRPr="00A17C25">
        <w:rPr>
          <w:b/>
        </w:rPr>
        <w:t>Authors:</w:t>
      </w:r>
      <w:r>
        <w:t xml:space="preserve"> </w:t>
      </w:r>
      <w:r w:rsidRPr="000109AA">
        <w:t xml:space="preserve">David I. Levine, Ph.D. and </w:t>
      </w:r>
      <w:smartTag w:uri="urn:schemas-microsoft-com:office:smarttags" w:element="PersonName">
        <w:r w:rsidRPr="000109AA">
          <w:t>Theresa Beltramo</w:t>
        </w:r>
      </w:smartTag>
      <w:r w:rsidRPr="000109AA">
        <w:t>, Ph.D.</w:t>
      </w:r>
    </w:p>
    <w:p w:rsidR="00B35F2F" w:rsidRDefault="00B35F2F" w:rsidP="00C84046">
      <w:pPr>
        <w:pStyle w:val="NoSpacing"/>
        <w:jc w:val="both"/>
      </w:pPr>
      <w:r w:rsidRPr="000109AA">
        <w:t xml:space="preserve">Both authors performed the research at the Center for Evaluation for Global Action (CEGA), the </w:t>
      </w:r>
      <w:smartTag w:uri="urn:schemas-microsoft-com:office:smarttags" w:element="PlaceType">
        <w:r w:rsidRPr="000109AA">
          <w:t>University</w:t>
        </w:r>
      </w:smartTag>
      <w:r w:rsidRPr="000109AA">
        <w:t xml:space="preserve"> of </w:t>
      </w:r>
      <w:smartTag w:uri="urn:schemas-microsoft-com:office:smarttags" w:element="PlaceName">
        <w:r w:rsidRPr="000109AA">
          <w:t>California</w:t>
        </w:r>
      </w:smartTag>
      <w:r w:rsidRPr="000109AA">
        <w:t xml:space="preserve"> at </w:t>
      </w:r>
      <w:smartTag w:uri="urn:schemas-microsoft-com:office:smarttags" w:element="place">
        <w:smartTag w:uri="urn:schemas-microsoft-com:office:smarttags" w:element="City">
          <w:r w:rsidRPr="000109AA">
            <w:t>Berkeley</w:t>
          </w:r>
        </w:smartTag>
      </w:smartTag>
      <w:r w:rsidRPr="000109AA">
        <w:t xml:space="preserve">. The mailing address for CEGA is the </w:t>
      </w:r>
      <w:smartTag w:uri="urn:schemas-microsoft-com:office:smarttags" w:element="PlaceType">
        <w:r w:rsidRPr="000109AA">
          <w:rPr>
            <w:rStyle w:val="apple-style-span"/>
          </w:rPr>
          <w:t>University</w:t>
        </w:r>
      </w:smartTag>
      <w:r w:rsidRPr="000109AA">
        <w:rPr>
          <w:rStyle w:val="apple-style-span"/>
        </w:rPr>
        <w:t xml:space="preserve"> of </w:t>
      </w:r>
      <w:smartTag w:uri="urn:schemas-microsoft-com:office:smarttags" w:element="PlaceName">
        <w:r w:rsidRPr="000109AA">
          <w:rPr>
            <w:rStyle w:val="apple-style-span"/>
          </w:rPr>
          <w:t xml:space="preserve">California </w:t>
        </w:r>
        <w:r w:rsidRPr="000109AA">
          <w:rPr>
            <w:rStyle w:val="apple-style-span"/>
            <w:color w:val="000000"/>
          </w:rPr>
          <w:t>Berkeley</w:t>
        </w:r>
      </w:smartTag>
      <w:r w:rsidRPr="000109AA">
        <w:rPr>
          <w:rStyle w:val="apple-style-span"/>
        </w:rPr>
        <w:t xml:space="preserve">; </w:t>
      </w:r>
      <w:r w:rsidRPr="000109AA">
        <w:rPr>
          <w:rStyle w:val="apple-style-span"/>
          <w:color w:val="000000"/>
        </w:rPr>
        <w:t>207 Giannini Hall</w:t>
      </w:r>
      <w:r w:rsidRPr="000109AA">
        <w:t xml:space="preserve">; </w:t>
      </w:r>
      <w:smartTag w:uri="urn:schemas-microsoft-com:office:smarttags" w:element="City">
        <w:smartTag w:uri="urn:schemas-microsoft-com:office:smarttags" w:element="place">
          <w:smartTag w:uri="urn:schemas-microsoft-com:office:smarttags" w:element="City">
            <w:r w:rsidRPr="000109AA">
              <w:rPr>
                <w:rStyle w:val="apple-style-span"/>
                <w:color w:val="000000"/>
              </w:rPr>
              <w:t>Berkeley</w:t>
            </w:r>
          </w:smartTag>
          <w:r w:rsidRPr="000109AA">
            <w:rPr>
              <w:rStyle w:val="apple-style-span"/>
              <w:color w:val="000000"/>
            </w:rPr>
            <w:t xml:space="preserve">, </w:t>
          </w:r>
          <w:smartTag w:uri="urn:schemas-microsoft-com:office:smarttags" w:element="State">
            <w:r w:rsidRPr="000109AA">
              <w:rPr>
                <w:rStyle w:val="apple-style-span"/>
                <w:color w:val="000000"/>
              </w:rPr>
              <w:t>CA</w:t>
            </w:r>
          </w:smartTag>
          <w:r w:rsidRPr="000109AA">
            <w:rPr>
              <w:rStyle w:val="apple-style-span"/>
              <w:color w:val="000000"/>
            </w:rPr>
            <w:t xml:space="preserve"> </w:t>
          </w:r>
          <w:smartTag w:uri="urn:schemas-microsoft-com:office:smarttags" w:element="PostalCode">
            <w:r w:rsidRPr="000109AA">
              <w:rPr>
                <w:rStyle w:val="apple-style-span"/>
                <w:color w:val="000000"/>
              </w:rPr>
              <w:t>94720-3310</w:t>
            </w:r>
          </w:smartTag>
        </w:smartTag>
      </w:smartTag>
      <w:r w:rsidRPr="000109AA">
        <w:t xml:space="preserve">. </w:t>
      </w:r>
    </w:p>
    <w:p w:rsidR="00B35F2F" w:rsidRDefault="00B35F2F" w:rsidP="00C84046">
      <w:pPr>
        <w:pStyle w:val="NoSpacing"/>
        <w:jc w:val="both"/>
      </w:pPr>
      <w:r w:rsidRPr="00A17C25">
        <w:rPr>
          <w:b/>
        </w:rPr>
        <w:t>Authors Affiliations</w:t>
      </w:r>
      <w:r>
        <w:rPr>
          <w:b/>
        </w:rPr>
        <w:t xml:space="preserve">: </w:t>
      </w:r>
      <w:r>
        <w:t xml:space="preserve">David I. Levine is </w:t>
      </w:r>
      <w:r w:rsidRPr="000109AA">
        <w:t xml:space="preserve">affiliated with the </w:t>
      </w:r>
      <w:smartTag w:uri="urn:schemas-microsoft-com:office:smarttags" w:element="PlaceType">
        <w:r w:rsidRPr="000109AA">
          <w:t>University</w:t>
        </w:r>
      </w:smartTag>
      <w:r w:rsidRPr="000109AA">
        <w:t xml:space="preserve"> of </w:t>
      </w:r>
      <w:smartTag w:uri="urn:schemas-microsoft-com:office:smarttags" w:element="PlaceName">
        <w:r w:rsidRPr="000109AA">
          <w:t>California</w:t>
        </w:r>
      </w:smartTag>
      <w:r w:rsidRPr="000109AA">
        <w:t xml:space="preserve">, </w:t>
      </w:r>
      <w:smartTag w:uri="urn:schemas-microsoft-com:office:smarttags" w:element="place">
        <w:smartTag w:uri="urn:schemas-microsoft-com:office:smarttags" w:element="City">
          <w:r w:rsidRPr="000109AA">
            <w:t>Berkeley</w:t>
          </w:r>
        </w:smartTag>
      </w:smartTag>
      <w:r w:rsidRPr="000109AA">
        <w:t xml:space="preserve"> at Haas School of Business. </w:t>
      </w:r>
      <w:smartTag w:uri="urn:schemas-microsoft-com:office:smarttags" w:element="PersonName">
        <w:r w:rsidRPr="000109AA">
          <w:t>Theresa Beltramo</w:t>
        </w:r>
      </w:smartTag>
      <w:r w:rsidRPr="000109AA">
        <w:t xml:space="preserve"> is affiliated with the </w:t>
      </w:r>
      <w:smartTag w:uri="urn:schemas-microsoft-com:office:smarttags" w:element="PlaceType">
        <w:smartTag w:uri="urn:schemas-microsoft-com:office:smarttags" w:element="place">
          <w:smartTag w:uri="urn:schemas-microsoft-com:office:smarttags" w:element="PlaceType">
            <w:r w:rsidRPr="000109AA">
              <w:t>School</w:t>
            </w:r>
          </w:smartTag>
          <w:r w:rsidRPr="000109AA">
            <w:t xml:space="preserve"> of </w:t>
          </w:r>
          <w:smartTag w:uri="urn:schemas-microsoft-com:office:smarttags" w:element="PlaceName">
            <w:r w:rsidRPr="000109AA">
              <w:t>Advanced Studies</w:t>
            </w:r>
          </w:smartTag>
        </w:smartTag>
      </w:smartTag>
      <w:r w:rsidRPr="000109AA">
        <w:t xml:space="preserve"> in Venice (SSAV), Università "Ca’ Foscari" di Venezia, and the Department of Economics. </w:t>
      </w:r>
    </w:p>
    <w:p w:rsidR="00B35F2F" w:rsidRDefault="00B35F2F" w:rsidP="00C84046">
      <w:pPr>
        <w:pStyle w:val="Heading2"/>
        <w:rPr>
          <w:b w:val="0"/>
        </w:rPr>
      </w:pPr>
      <w:r>
        <w:t xml:space="preserve">Authors Contact Information: </w:t>
      </w:r>
      <w:r w:rsidRPr="00A17C25">
        <w:rPr>
          <w:b w:val="0"/>
        </w:rPr>
        <w:t xml:space="preserve">The mailing address for Dr. David I. Levine is Haas School of Business, </w:t>
      </w:r>
      <w:smartTag w:uri="urn:schemas-microsoft-com:office:smarttags" w:element="PlaceType">
        <w:r w:rsidRPr="00A17C25">
          <w:rPr>
            <w:b w:val="0"/>
          </w:rPr>
          <w:t>University</w:t>
        </w:r>
      </w:smartTag>
      <w:r w:rsidRPr="00A17C25">
        <w:rPr>
          <w:b w:val="0"/>
        </w:rPr>
        <w:t xml:space="preserve"> of </w:t>
      </w:r>
      <w:smartTag w:uri="urn:schemas-microsoft-com:office:smarttags" w:element="PlaceName">
        <w:r w:rsidRPr="00A17C25">
          <w:rPr>
            <w:b w:val="0"/>
          </w:rPr>
          <w:t>California</w:t>
        </w:r>
      </w:smartTag>
      <w:r w:rsidRPr="00A17C25">
        <w:rPr>
          <w:b w:val="0"/>
        </w:rPr>
        <w:t xml:space="preserve"> at </w:t>
      </w:r>
      <w:smartTag w:uri="urn:schemas-microsoft-com:office:smarttags" w:element="City">
        <w:r w:rsidRPr="00A17C25">
          <w:rPr>
            <w:b w:val="0"/>
          </w:rPr>
          <w:t>Berkeley</w:t>
        </w:r>
      </w:smartTag>
      <w:r w:rsidRPr="00A17C25">
        <w:rPr>
          <w:b w:val="0"/>
        </w:rPr>
        <w:t xml:space="preserve">, </w:t>
      </w:r>
      <w:smartTag w:uri="urn:schemas-microsoft-com:office:smarttags" w:element="address">
        <w:smartTag w:uri="urn:schemas-microsoft-com:office:smarttags" w:element="Street">
          <w:r w:rsidRPr="00A17C25">
            <w:rPr>
              <w:rStyle w:val="apple-style-span"/>
              <w:b w:val="0"/>
            </w:rPr>
            <w:t>2220 Piedmont Avenue</w:t>
          </w:r>
        </w:smartTag>
      </w:smartTag>
      <w:r w:rsidRPr="00A17C25">
        <w:rPr>
          <w:b w:val="0"/>
        </w:rPr>
        <w:t xml:space="preserve">; </w:t>
      </w:r>
      <w:smartTag w:uri="urn:schemas-microsoft-com:office:smarttags" w:element="City">
        <w:smartTag w:uri="urn:schemas-microsoft-com:office:smarttags" w:element="place">
          <w:smartTag w:uri="urn:schemas-microsoft-com:office:smarttags" w:element="City">
            <w:r w:rsidRPr="00A17C25">
              <w:rPr>
                <w:rStyle w:val="apple-style-span"/>
                <w:b w:val="0"/>
              </w:rPr>
              <w:t>Berkeley</w:t>
            </w:r>
          </w:smartTag>
          <w:r w:rsidRPr="00A17C25">
            <w:rPr>
              <w:rStyle w:val="apple-style-span"/>
              <w:b w:val="0"/>
            </w:rPr>
            <w:t xml:space="preserve">, </w:t>
          </w:r>
          <w:smartTag w:uri="urn:schemas-microsoft-com:office:smarttags" w:element="State">
            <w:r w:rsidRPr="00A17C25">
              <w:rPr>
                <w:rStyle w:val="apple-style-span"/>
                <w:b w:val="0"/>
              </w:rPr>
              <w:t>CA</w:t>
            </w:r>
          </w:smartTag>
        </w:smartTag>
      </w:smartTag>
      <w:r w:rsidRPr="00A17C25">
        <w:rPr>
          <w:rStyle w:val="apple-style-span"/>
          <w:b w:val="0"/>
        </w:rPr>
        <w:t xml:space="preserve">; 94720. Contact information includes: </w:t>
      </w:r>
      <w:hyperlink r:id="rId7" w:history="1">
        <w:r w:rsidRPr="00A17C25">
          <w:rPr>
            <w:rStyle w:val="Hyperlink"/>
            <w:b w:val="0"/>
          </w:rPr>
          <w:t>levine@haas.berkeley.edu</w:t>
        </w:r>
      </w:hyperlink>
      <w:r w:rsidRPr="00A17C25">
        <w:rPr>
          <w:b w:val="0"/>
        </w:rPr>
        <w:t xml:space="preserve"> , phone: 510.642.1697, and fax: 510. 643.1420. The mailing address for Dr. </w:t>
      </w:r>
      <w:smartTag w:uri="urn:schemas-microsoft-com:office:smarttags" w:element="PersonName">
        <w:r w:rsidRPr="00A17C25">
          <w:rPr>
            <w:b w:val="0"/>
          </w:rPr>
          <w:t>Theresa Beltramo</w:t>
        </w:r>
      </w:smartTag>
      <w:r>
        <w:rPr>
          <w:b w:val="0"/>
        </w:rPr>
        <w:t xml:space="preserve"> is</w:t>
      </w:r>
      <w:r w:rsidRPr="00A17C25">
        <w:rPr>
          <w:b w:val="0"/>
        </w:rPr>
        <w:t xml:space="preserve"> </w:t>
      </w:r>
      <w:smartTag w:uri="urn:schemas-microsoft-com:office:smarttags" w:element="address">
        <w:smartTag w:uri="urn:schemas-microsoft-com:office:smarttags" w:element="Street">
          <w:r w:rsidRPr="00A17C25">
            <w:rPr>
              <w:b w:val="0"/>
            </w:rPr>
            <w:t>120 San Mateo Drive</w:t>
          </w:r>
        </w:smartTag>
        <w:r w:rsidRPr="00A17C25">
          <w:rPr>
            <w:b w:val="0"/>
          </w:rPr>
          <w:t xml:space="preserve">, </w:t>
        </w:r>
        <w:smartTag w:uri="urn:schemas-microsoft-com:office:smarttags" w:element="City">
          <w:r w:rsidRPr="00A17C25">
            <w:rPr>
              <w:b w:val="0"/>
            </w:rPr>
            <w:t>Menlo Park</w:t>
          </w:r>
        </w:smartTag>
      </w:smartTag>
      <w:r w:rsidRPr="00A17C25">
        <w:rPr>
          <w:b w:val="0"/>
        </w:rPr>
        <w:t xml:space="preserve">, CA. 94025. Contact information includes: </w:t>
      </w:r>
      <w:hyperlink r:id="rId8" w:history="1">
        <w:r w:rsidRPr="00A17C25">
          <w:rPr>
            <w:rStyle w:val="Hyperlink"/>
            <w:b w:val="0"/>
          </w:rPr>
          <w:t>tbeltramo@berkeley.edu</w:t>
        </w:r>
      </w:hyperlink>
      <w:r w:rsidRPr="00A17C25">
        <w:rPr>
          <w:b w:val="0"/>
        </w:rPr>
        <w:t xml:space="preserve"> , phone: 415.269.9078 and fax: 925.842.3986.</w:t>
      </w:r>
    </w:p>
    <w:p w:rsidR="00B35F2F" w:rsidRPr="00A22E8C" w:rsidRDefault="00B35F2F" w:rsidP="00A22E8C">
      <w:pPr>
        <w:ind w:firstLine="0"/>
      </w:pPr>
      <w:r w:rsidRPr="00A22E8C">
        <w:rPr>
          <w:b/>
        </w:rPr>
        <w:t>Running Title:</w:t>
      </w:r>
      <w:r>
        <w:t xml:space="preserve"> </w:t>
      </w:r>
      <w:r w:rsidRPr="00A22E8C">
        <w:t>The Effect of Solar Ovens on Fuel Use, Emissions, and Health</w:t>
      </w:r>
    </w:p>
    <w:p w:rsidR="00B35F2F" w:rsidRPr="00D3702A" w:rsidRDefault="00B35F2F" w:rsidP="00C84046">
      <w:pPr>
        <w:pStyle w:val="Heading2"/>
        <w:rPr>
          <w:b w:val="0"/>
        </w:rPr>
      </w:pPr>
      <w:r w:rsidRPr="000109AA">
        <w:t xml:space="preserve">Key Words: </w:t>
      </w:r>
      <w:r w:rsidRPr="000109AA">
        <w:rPr>
          <w:b w:val="0"/>
        </w:rPr>
        <w:t xml:space="preserve">Indoor Air Pollution; Carbon Monoxide, Technology Adoption, Maternal and Child Health. </w:t>
      </w:r>
    </w:p>
    <w:p w:rsidR="00B35F2F" w:rsidRPr="00A17C25" w:rsidRDefault="00B35F2F" w:rsidP="00C84046">
      <w:pPr>
        <w:pStyle w:val="NoSpacing"/>
        <w:jc w:val="both"/>
      </w:pPr>
      <w:r w:rsidRPr="000109AA">
        <w:rPr>
          <w:b/>
        </w:rPr>
        <w:t>Acknowledgements:</w:t>
      </w:r>
      <w:r w:rsidRPr="000109AA">
        <w:t xml:space="preserve"> </w:t>
      </w:r>
      <w:r w:rsidRPr="00A17C25">
        <w:t xml:space="preserve">This research was supported by the National Institute of Health, the Blum Center, Sustainable Product Solutions, Berkeley Institute for the Environment, </w:t>
      </w:r>
      <w:smartTag w:uri="urn:schemas-microsoft-com:office:smarttags" w:element="PlaceName">
        <w:smartTag w:uri="urn:schemas-microsoft-com:office:smarttags" w:element="place">
          <w:smartTag w:uri="urn:schemas-microsoft-com:office:smarttags" w:element="PlaceName">
            <w:r w:rsidRPr="00A17C25">
              <w:t>Berkeley</w:t>
            </w:r>
          </w:smartTag>
          <w:r w:rsidRPr="00A17C25">
            <w:t xml:space="preserve"> </w:t>
          </w:r>
          <w:smartTag w:uri="urn:schemas-microsoft-com:office:smarttags" w:element="PlaceName">
            <w:r w:rsidRPr="00A17C25">
              <w:t>Population</w:t>
            </w:r>
          </w:smartTag>
          <w:r w:rsidRPr="00A17C25">
            <w:t xml:space="preserve"> </w:t>
          </w:r>
          <w:smartTag w:uri="urn:schemas-microsoft-com:office:smarttags" w:element="PlaceType">
            <w:r w:rsidRPr="00A17C25">
              <w:t>Center</w:t>
            </w:r>
          </w:smartTag>
        </w:smartTag>
      </w:smartTag>
      <w:r w:rsidRPr="00A17C25">
        <w:t xml:space="preserve">, Solar Household Energy (SHE), and Tostan. This randomized controlled trial (RCT) passed the </w:t>
      </w:r>
      <w:smartTag w:uri="urn:schemas-microsoft-com:office:smarttags" w:element="country-region">
        <w:smartTag w:uri="urn:schemas-microsoft-com:office:smarttags" w:element="PlaceType">
          <w:r w:rsidRPr="00A17C25">
            <w:t>University</w:t>
          </w:r>
        </w:smartTag>
        <w:r w:rsidRPr="00A17C25">
          <w:t xml:space="preserve"> of </w:t>
        </w:r>
        <w:smartTag w:uri="urn:schemas-microsoft-com:office:smarttags" w:element="country-region">
          <w:r w:rsidRPr="00A17C25">
            <w:t>California Berkeley Office</w:t>
          </w:r>
        </w:smartTag>
      </w:smartTag>
      <w:r w:rsidRPr="00A17C25">
        <w:t xml:space="preserve"> of the Protection of Human Subjects (Review #: 2007-12-50). </w:t>
      </w:r>
    </w:p>
    <w:p w:rsidR="00B35F2F" w:rsidRDefault="00B35F2F" w:rsidP="00C84046">
      <w:pPr>
        <w:pStyle w:val="NoSpacing"/>
        <w:jc w:val="both"/>
      </w:pPr>
      <w:r w:rsidRPr="000109AA">
        <w:t xml:space="preserve">We thank Darwin Curtis, </w:t>
      </w:r>
      <w:smartTag w:uri="urn:schemas-microsoft-com:office:smarttags" w:element="country-region">
        <w:r w:rsidRPr="000109AA">
          <w:t>Marie-Ange Binagwaho</w:t>
        </w:r>
      </w:smartTag>
      <w:r w:rsidRPr="000109AA">
        <w:t xml:space="preserve">, and Bridget Huttenlocher at SHE and </w:t>
      </w:r>
      <w:smartTag w:uri="urn:schemas-microsoft-com:office:smarttags" w:element="country-region">
        <w:r w:rsidRPr="000109AA">
          <w:t>Molly Melching</w:t>
        </w:r>
      </w:smartTag>
      <w:r w:rsidRPr="000109AA">
        <w:t xml:space="preserve">, Cody Donahue, Dame Gueye and the Community Management Committee organizers at TOSTAN. Lamine Ndiaye, Henry Silverman, Richard Tam, </w:t>
      </w:r>
      <w:smartTag w:uri="urn:schemas-microsoft-com:office:smarttags" w:element="country-region">
        <w:r w:rsidRPr="000109AA">
          <w:t>Kenneth Tsang</w:t>
        </w:r>
      </w:smartTag>
      <w:r w:rsidRPr="000109AA">
        <w:t xml:space="preserve">, Miyeon Oh and Cheikh Sidaty Ndiaye, Kine Seck, Magueye Ndiaye, Thierno Diagne, Awa Ndiaye, Wawounde Diop, Maimouna Sow, Ngone Sow, Aminata Bass, Anna Dione, Ibrahima Balde, Babacar Cisse, Yatening Thiang provided excellent research assistance, led by Vanessa Reed in the field. Kirk Smith, Isle Ruiz-Mercado, and the UC Berkeley RESPIRE team guided us on measurement design. We appreciate comments from Grant Miller, Mushfiq Mobarak, Rena Hanna, Esther Duflo, Michael Greenstone, Vijay Modi, Alexander Pfaff, Valeria Muller, Darby Jack, </w:t>
      </w:r>
      <w:smartTag w:uri="urn:schemas-microsoft-com:office:smarttags" w:element="country-region">
        <w:r w:rsidRPr="000109AA">
          <w:t>Robert Van Buskirk</w:t>
        </w:r>
      </w:smartTag>
      <w:r w:rsidRPr="000109AA">
        <w:t xml:space="preserve">, </w:t>
      </w:r>
      <w:smartTag w:uri="urn:schemas-microsoft-com:office:smarttags" w:element="country-region">
        <w:r w:rsidRPr="000109AA">
          <w:t>Jason Burwen</w:t>
        </w:r>
      </w:smartTag>
      <w:r w:rsidRPr="000109AA">
        <w:t xml:space="preserve">, </w:t>
      </w:r>
      <w:smartTag w:uri="urn:schemas-microsoft-com:office:smarttags" w:element="country-region">
        <w:r w:rsidRPr="000109AA">
          <w:t>Ashok Gadgil</w:t>
        </w:r>
      </w:smartTag>
      <w:r w:rsidRPr="000109AA">
        <w:t xml:space="preserve">, Dan Kammen, Nils Tomajina, </w:t>
      </w:r>
      <w:smartTag w:uri="urn:schemas-microsoft-com:office:smarttags" w:element="country-region">
        <w:r w:rsidRPr="000109AA">
          <w:t>Jimmy Tran</w:t>
        </w:r>
      </w:smartTag>
      <w:r w:rsidRPr="000109AA">
        <w:t xml:space="preserve">, Matt Evans, </w:t>
      </w:r>
      <w:smartTag w:uri="urn:schemas-microsoft-com:office:smarttags" w:element="country-region">
        <w:r w:rsidRPr="000109AA">
          <w:t>Evan Haigler</w:t>
        </w:r>
      </w:smartTag>
      <w:r w:rsidRPr="000109AA">
        <w:t xml:space="preserve">, </w:t>
      </w:r>
      <w:smartTag w:uri="urn:schemas-microsoft-com:office:smarttags" w:element="country-region">
        <w:r w:rsidRPr="000109AA">
          <w:t>George Scharffenberger</w:t>
        </w:r>
      </w:smartTag>
      <w:r w:rsidRPr="000109AA">
        <w:t>, Arianna Legovini,  Abdoulaye Sy, Pascaline Dupas, and We thank participants at the World Bank, U.C. Berkeley, ASSA, and Katholieke Universiteit Leuven LICOS. All errors are our own.</w:t>
      </w:r>
    </w:p>
    <w:p w:rsidR="00B35F2F" w:rsidRDefault="00B35F2F" w:rsidP="00C84046">
      <w:pPr>
        <w:pStyle w:val="NoSpacing"/>
        <w:jc w:val="both"/>
      </w:pPr>
      <w:r w:rsidRPr="00A17C25">
        <w:rPr>
          <w:b/>
        </w:rPr>
        <w:t>Competing Financial Interests Declaration:</w:t>
      </w:r>
      <w:r>
        <w:t xml:space="preserve"> </w:t>
      </w:r>
      <w:r w:rsidRPr="00A17C25">
        <w:t>Both authors declare they have no actual or potential competing financial interests with submitting this article to Environmental Health Perspectives for publication.</w:t>
      </w:r>
    </w:p>
    <w:p w:rsidR="00B35F2F" w:rsidRPr="000109AA" w:rsidRDefault="00B35F2F" w:rsidP="00C84046">
      <w:pPr>
        <w:ind w:firstLine="0"/>
        <w:jc w:val="left"/>
        <w:rPr>
          <w:b/>
        </w:rPr>
      </w:pPr>
      <w:r w:rsidRPr="000109AA">
        <w:rPr>
          <w:b/>
        </w:rPr>
        <w:t>List of Acronyms:</w:t>
      </w:r>
    </w:p>
    <w:p w:rsidR="00B35F2F" w:rsidRPr="000109AA" w:rsidRDefault="00B35F2F" w:rsidP="00C84046">
      <w:pPr>
        <w:pStyle w:val="NoSpacing"/>
      </w:pPr>
      <w:r w:rsidRPr="000109AA">
        <w:t>C</w:t>
      </w:r>
      <w:r w:rsidRPr="000109AA">
        <w:tab/>
      </w:r>
      <w:r w:rsidRPr="000109AA">
        <w:tab/>
        <w:t>Celcius</w:t>
      </w:r>
    </w:p>
    <w:p w:rsidR="00B35F2F" w:rsidRPr="000109AA" w:rsidRDefault="00B35F2F" w:rsidP="00C84046">
      <w:pPr>
        <w:pStyle w:val="NoSpacing"/>
      </w:pPr>
      <w:r w:rsidRPr="000109AA">
        <w:t>CO</w:t>
      </w:r>
      <w:r w:rsidRPr="000109AA">
        <w:tab/>
      </w:r>
      <w:r w:rsidRPr="000109AA">
        <w:tab/>
        <w:t>Carbon Monoxide</w:t>
      </w:r>
    </w:p>
    <w:p w:rsidR="00B35F2F" w:rsidRPr="000109AA" w:rsidRDefault="00B35F2F" w:rsidP="00C84046">
      <w:pPr>
        <w:pStyle w:val="NoSpacing"/>
      </w:pPr>
      <w:r w:rsidRPr="000109AA">
        <w:lastRenderedPageBreak/>
        <w:t>CEGA</w:t>
      </w:r>
      <w:r w:rsidRPr="000109AA">
        <w:tab/>
      </w:r>
      <w:r w:rsidRPr="000109AA">
        <w:tab/>
        <w:t>Center for Evaluation of Global Action</w:t>
      </w:r>
    </w:p>
    <w:p w:rsidR="00B35F2F" w:rsidRDefault="00B35F2F" w:rsidP="00C84046">
      <w:pPr>
        <w:pStyle w:val="NoSpacing"/>
      </w:pPr>
      <w:r>
        <w:t>IAP</w:t>
      </w:r>
      <w:r>
        <w:tab/>
      </w:r>
      <w:r>
        <w:tab/>
        <w:t>Indoor Air Pollution</w:t>
      </w:r>
    </w:p>
    <w:p w:rsidR="00B35F2F" w:rsidRPr="000109AA" w:rsidRDefault="00B35F2F" w:rsidP="00C84046">
      <w:pPr>
        <w:pStyle w:val="NoSpacing"/>
      </w:pPr>
      <w:r w:rsidRPr="000109AA">
        <w:t>NGO</w:t>
      </w:r>
      <w:r w:rsidRPr="000109AA">
        <w:tab/>
      </w:r>
      <w:r w:rsidRPr="000109AA">
        <w:tab/>
        <w:t>Non-Governmental Organization</w:t>
      </w:r>
    </w:p>
    <w:p w:rsidR="00B35F2F" w:rsidRPr="000109AA" w:rsidRDefault="00B35F2F" w:rsidP="00C84046">
      <w:pPr>
        <w:pStyle w:val="NoSpacing"/>
      </w:pPr>
      <w:r w:rsidRPr="000109AA">
        <w:t>RCT</w:t>
      </w:r>
      <w:r w:rsidRPr="000109AA">
        <w:tab/>
      </w:r>
      <w:r w:rsidRPr="000109AA">
        <w:tab/>
        <w:t>Randomized Controlled Trial</w:t>
      </w:r>
    </w:p>
    <w:p w:rsidR="00B35F2F" w:rsidRPr="000109AA" w:rsidRDefault="00B35F2F" w:rsidP="00C84046">
      <w:pPr>
        <w:pStyle w:val="NoSpacing"/>
      </w:pPr>
      <w:r w:rsidRPr="000109AA">
        <w:t xml:space="preserve">SHE </w:t>
      </w:r>
      <w:r w:rsidRPr="000109AA">
        <w:tab/>
        <w:t xml:space="preserve"> </w:t>
      </w:r>
      <w:r w:rsidRPr="000109AA">
        <w:tab/>
        <w:t>Solar Household Energy Inc.</w:t>
      </w:r>
    </w:p>
    <w:p w:rsidR="00B35F2F" w:rsidRPr="000109AA" w:rsidRDefault="00B35F2F" w:rsidP="00C84046">
      <w:pPr>
        <w:pStyle w:val="NoSpacing"/>
      </w:pPr>
      <w:r w:rsidRPr="000109AA">
        <w:t>SUM</w:t>
      </w:r>
      <w:r w:rsidRPr="000109AA">
        <w:tab/>
      </w:r>
      <w:r w:rsidRPr="000109AA">
        <w:tab/>
        <w:t>Stove Usage Monitor</w:t>
      </w:r>
    </w:p>
    <w:p w:rsidR="00B35F2F" w:rsidRPr="000109AA" w:rsidRDefault="00B35F2F" w:rsidP="00C84046">
      <w:pPr>
        <w:pStyle w:val="NoSpacing"/>
      </w:pPr>
      <w:r w:rsidRPr="000109AA">
        <w:t xml:space="preserve">WHO </w:t>
      </w:r>
      <w:r w:rsidRPr="000109AA">
        <w:tab/>
      </w:r>
      <w:r w:rsidRPr="000109AA">
        <w:tab/>
        <w:t>World Health Organization</w:t>
      </w:r>
    </w:p>
    <w:p w:rsidR="00B35F2F" w:rsidRPr="000109AA" w:rsidRDefault="00B35F2F" w:rsidP="00C84046">
      <w:pPr>
        <w:pStyle w:val="NoSpacing"/>
        <w:jc w:val="both"/>
      </w:pPr>
    </w:p>
    <w:p w:rsidR="00B35F2F" w:rsidRDefault="00B35F2F" w:rsidP="00C84046">
      <w:pPr>
        <w:pStyle w:val="NoSpacing"/>
        <w:jc w:val="both"/>
        <w:rPr>
          <w:sz w:val="32"/>
        </w:rPr>
      </w:pPr>
      <w:r>
        <w:rPr>
          <w:sz w:val="32"/>
        </w:rPr>
        <w:t>Abstract</w:t>
      </w:r>
    </w:p>
    <w:p w:rsidR="00B35F2F" w:rsidRDefault="00B35F2F" w:rsidP="00C84046">
      <w:pPr>
        <w:pStyle w:val="NoSpacing"/>
        <w:ind w:left="708"/>
        <w:jc w:val="both"/>
        <w:rPr>
          <w:color w:val="548DD4"/>
        </w:rPr>
      </w:pPr>
      <w:r>
        <w:rPr>
          <w:i/>
          <w:color w:val="548DD4"/>
        </w:rPr>
        <w:t>Background</w:t>
      </w:r>
      <w:r w:rsidRPr="00676D75">
        <w:rPr>
          <w:i/>
          <w:color w:val="548DD4"/>
        </w:rPr>
        <w:t xml:space="preserve">: </w:t>
      </w:r>
      <w:r w:rsidRPr="00676D75">
        <w:rPr>
          <w:color w:val="548DD4"/>
        </w:rPr>
        <w:t xml:space="preserve">Inefficient cookstoves contribute to deforestation and global climate change, require substantial time </w:t>
      </w:r>
      <w:r>
        <w:rPr>
          <w:color w:val="548DD4"/>
        </w:rPr>
        <w:t xml:space="preserve">collecting wood </w:t>
      </w:r>
      <w:r w:rsidRPr="00676D75">
        <w:rPr>
          <w:color w:val="548DD4"/>
        </w:rPr>
        <w:t xml:space="preserve">(usually of women and girls) or money for fuel, and lead to over 1.5 </w:t>
      </w:r>
      <w:r w:rsidRPr="00F3180D">
        <w:rPr>
          <w:color w:val="548DD4"/>
        </w:rPr>
        <w:t xml:space="preserve">million deaths a year. </w:t>
      </w:r>
    </w:p>
    <w:p w:rsidR="00B35F2F" w:rsidRPr="00676D75" w:rsidRDefault="00B35F2F" w:rsidP="00C84046">
      <w:pPr>
        <w:pStyle w:val="NoSpacing"/>
        <w:ind w:left="708"/>
        <w:jc w:val="both"/>
        <w:rPr>
          <w:color w:val="548DD4"/>
        </w:rPr>
      </w:pPr>
      <w:r>
        <w:rPr>
          <w:i/>
          <w:color w:val="548DD4"/>
        </w:rPr>
        <w:t>Objectives:</w:t>
      </w:r>
      <w:r>
        <w:rPr>
          <w:color w:val="548DD4"/>
        </w:rPr>
        <w:t xml:space="preserve"> </w:t>
      </w:r>
      <w:r w:rsidRPr="00676D75">
        <w:rPr>
          <w:color w:val="548DD4"/>
        </w:rPr>
        <w:t xml:space="preserve">We examined the effect of solar ovens on fuel use, time spent collecting wood, carbon monoxide exposure, and respiratory illness symptoms. </w:t>
      </w:r>
    </w:p>
    <w:p w:rsidR="00B35F2F" w:rsidRPr="00676D75" w:rsidRDefault="00B35F2F" w:rsidP="00C84046">
      <w:pPr>
        <w:pStyle w:val="NoSpacing"/>
        <w:ind w:left="708"/>
        <w:jc w:val="both"/>
        <w:rPr>
          <w:color w:val="548DD4"/>
        </w:rPr>
      </w:pPr>
      <w:r w:rsidRPr="00676D75">
        <w:rPr>
          <w:i/>
          <w:color w:val="548DD4"/>
        </w:rPr>
        <w:t>Methods</w:t>
      </w:r>
      <w:r>
        <w:rPr>
          <w:i/>
          <w:color w:val="548DD4"/>
        </w:rPr>
        <w:t>:</w:t>
      </w:r>
      <w:r w:rsidRPr="00676D75">
        <w:rPr>
          <w:i/>
          <w:color w:val="548DD4"/>
        </w:rPr>
        <w:t xml:space="preserve"> </w:t>
      </w:r>
      <w:r w:rsidRPr="00676D75">
        <w:rPr>
          <w:color w:val="548DD4"/>
        </w:rPr>
        <w:t xml:space="preserve">We ran a randomized controlled trial among women interested in purchasing a solar oven in </w:t>
      </w:r>
      <w:r w:rsidRPr="00766595">
        <w:rPr>
          <w:color w:val="548DD4"/>
        </w:rPr>
        <w:t xml:space="preserve">rural </w:t>
      </w:r>
      <w:smartTag w:uri="urn:schemas-microsoft-com:office:smarttags" w:element="country-region">
        <w:r w:rsidRPr="00766595">
          <w:rPr>
            <w:color w:val="548DD4"/>
          </w:rPr>
          <w:t>Senegal</w:t>
        </w:r>
      </w:smartTag>
      <w:r w:rsidRPr="00766595">
        <w:rPr>
          <w:color w:val="548DD4"/>
        </w:rPr>
        <w:t xml:space="preserve">. </w:t>
      </w:r>
      <w:r>
        <w:rPr>
          <w:color w:val="548DD4"/>
        </w:rPr>
        <w:t>Households randomly allocated to the control group received their stoves 6 months after treatments.</w:t>
      </w:r>
    </w:p>
    <w:p w:rsidR="00B35F2F" w:rsidRPr="00676D75" w:rsidRDefault="00B35F2F" w:rsidP="00C84046">
      <w:pPr>
        <w:pStyle w:val="NoSpacing"/>
        <w:ind w:left="708"/>
        <w:jc w:val="both"/>
        <w:rPr>
          <w:color w:val="548DD4"/>
        </w:rPr>
      </w:pPr>
      <w:r>
        <w:rPr>
          <w:i/>
          <w:color w:val="548DD4"/>
        </w:rPr>
        <w:t>Results:</w:t>
      </w:r>
      <w:r w:rsidRPr="00676D75">
        <w:rPr>
          <w:i/>
          <w:color w:val="548DD4"/>
        </w:rPr>
        <w:t xml:space="preserve"> </w:t>
      </w:r>
      <w:r w:rsidRPr="00766595">
        <w:rPr>
          <w:color w:val="548DD4"/>
        </w:rPr>
        <w:t>80% of our respondents typically cook for more people than the capacity of the solar oven</w:t>
      </w:r>
      <w:r>
        <w:rPr>
          <w:color w:val="548DD4"/>
        </w:rPr>
        <w:t xml:space="preserve">.  Thus, </w:t>
      </w:r>
      <w:r w:rsidRPr="00676D75">
        <w:rPr>
          <w:color w:val="548DD4"/>
        </w:rPr>
        <w:t xml:space="preserve">even cooks using the solar oven </w:t>
      </w:r>
      <w:r>
        <w:rPr>
          <w:color w:val="548DD4"/>
        </w:rPr>
        <w:t>continue using their traditional stove.</w:t>
      </w:r>
      <w:r w:rsidRPr="00766595">
        <w:rPr>
          <w:color w:val="548DD4"/>
        </w:rPr>
        <w:t xml:space="preserve"> </w:t>
      </w:r>
      <w:r>
        <w:rPr>
          <w:color w:val="548DD4"/>
        </w:rPr>
        <w:t xml:space="preserve"> I</w:t>
      </w:r>
      <w:r w:rsidRPr="00676D75">
        <w:rPr>
          <w:color w:val="548DD4"/>
        </w:rPr>
        <w:t xml:space="preserve">n the sixth month of owning the stove, treatments used their </w:t>
      </w:r>
      <w:r>
        <w:rPr>
          <w:color w:val="548DD4"/>
        </w:rPr>
        <w:t xml:space="preserve">solar </w:t>
      </w:r>
      <w:r w:rsidRPr="00676D75">
        <w:rPr>
          <w:color w:val="548DD4"/>
        </w:rPr>
        <w:t>oven 19% of days</w:t>
      </w:r>
      <w:r>
        <w:rPr>
          <w:color w:val="548DD4"/>
        </w:rPr>
        <w:t xml:space="preserve"> measured</w:t>
      </w:r>
      <w:r w:rsidRPr="00676D75">
        <w:rPr>
          <w:color w:val="548DD4"/>
        </w:rPr>
        <w:t>.  Treatment households did not have statistically significantly lower fuel consumption, time spent collecting fuel, or time spent next to the cook fire.  However, treatments c</w:t>
      </w:r>
      <w:r>
        <w:rPr>
          <w:color w:val="548DD4"/>
        </w:rPr>
        <w:t xml:space="preserve">ooking for 7-12 persons had 14% </w:t>
      </w:r>
      <w:r w:rsidRPr="00676D75">
        <w:rPr>
          <w:color w:val="548DD4"/>
        </w:rPr>
        <w:t xml:space="preserve">lower </w:t>
      </w:r>
      <w:r>
        <w:rPr>
          <w:color w:val="548DD4"/>
        </w:rPr>
        <w:t>firewood</w:t>
      </w:r>
      <w:r w:rsidRPr="00676D75">
        <w:rPr>
          <w:color w:val="548DD4"/>
        </w:rPr>
        <w:t xml:space="preserve"> consumption (P &lt; .01).  There is no evidence solar ovens reduced exposure to carbon monoxide or self-reported respiratory symptoms such as coughs and sore throats.  </w:t>
      </w:r>
    </w:p>
    <w:p w:rsidR="00B35F2F" w:rsidRDefault="00B35F2F" w:rsidP="00C84046">
      <w:pPr>
        <w:pStyle w:val="NoSpacing"/>
        <w:ind w:left="708"/>
        <w:jc w:val="both"/>
        <w:rPr>
          <w:color w:val="548DD4"/>
        </w:rPr>
      </w:pPr>
      <w:r w:rsidRPr="00A61D40">
        <w:rPr>
          <w:i/>
          <w:color w:val="548DD4"/>
        </w:rPr>
        <w:t>Conclusions:</w:t>
      </w:r>
      <w:r>
        <w:rPr>
          <w:color w:val="548DD4"/>
        </w:rPr>
        <w:t xml:space="preserve"> These solar ovens were not effective in reducing the problems associated with large extended families using wood to cook.  </w:t>
      </w:r>
      <w:r w:rsidRPr="00676D75">
        <w:rPr>
          <w:color w:val="548DD4"/>
        </w:rPr>
        <w:t xml:space="preserve">This evaluation was a policy success because its results halted the proposed nationwide rollout of the solar oven. </w:t>
      </w:r>
      <w:r>
        <w:rPr>
          <w:color w:val="548DD4"/>
        </w:rPr>
        <w:t xml:space="preserve"> It also demonstrates how to run low-cost randomized field trials, the value of stove usage monitors to provide objective measures of usage of new stoves, and the importance of measurement of existing stoves, not just new stove.  </w:t>
      </w:r>
    </w:p>
    <w:p w:rsidR="00B35F2F" w:rsidRDefault="00BA287D" w:rsidP="00C84046">
      <w:pPr>
        <w:pStyle w:val="Heading1"/>
      </w:pPr>
      <w:r>
        <w:rPr>
          <w:noProof/>
          <w:lang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125.4pt;margin-top:8.4pt;width:171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gf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"/>
        </w:pict>
      </w:r>
      <w:r w:rsidR="00B35F2F">
        <w:rPr>
          <w:noProof/>
          <w:lang w:eastAsia="en-US"/>
        </w:rPr>
        <w:t>Introduction</w:t>
      </w:r>
    </w:p>
    <w:p w:rsidR="00B35F2F" w:rsidRDefault="00B35F2F" w:rsidP="00C84046">
      <w:bookmarkStart w:id="1" w:name="_GoBack"/>
      <w:r w:rsidRPr="00A20C4D">
        <w:t>Over 3 billion people burn wood and other biomass</w:t>
      </w:r>
      <w:r>
        <w:t xml:space="preserve"> for cooking</w:t>
      </w:r>
      <w:r w:rsidRPr="00A20C4D">
        <w:t xml:space="preserve"> (</w:t>
      </w:r>
      <w:r w:rsidRPr="00E42491">
        <w:t>Mehta</w:t>
      </w:r>
      <w:r>
        <w:t xml:space="preserve"> </w:t>
      </w:r>
      <w:r w:rsidRPr="00061A94">
        <w:rPr>
          <w:i/>
        </w:rPr>
        <w:t>et al.</w:t>
      </w:r>
      <w:r w:rsidRPr="001F2984">
        <w:t xml:space="preserve"> 2006</w:t>
      </w:r>
      <w:r>
        <w:t>; WHO 2007b</w:t>
      </w:r>
      <w:r w:rsidRPr="00A20C4D">
        <w:t>).</w:t>
      </w:r>
      <w:r>
        <w:t xml:space="preserve"> </w:t>
      </w:r>
      <w:r w:rsidRPr="00A20C4D">
        <w:t xml:space="preserve"> </w:t>
      </w:r>
      <w:r>
        <w:t xml:space="preserve">Emissions </w:t>
      </w:r>
      <w:r w:rsidRPr="00A20C4D">
        <w:t xml:space="preserve">from burning biomass </w:t>
      </w:r>
      <w:r>
        <w:t xml:space="preserve">fuels </w:t>
      </w:r>
      <w:r w:rsidRPr="00A20C4D">
        <w:t>cause</w:t>
      </w:r>
      <w:r>
        <w:t xml:space="preserve"> approximately </w:t>
      </w:r>
      <w:r w:rsidRPr="00A20C4D">
        <w:t>1.6 million premature deaths every year</w:t>
      </w:r>
      <w:r>
        <w:t xml:space="preserve"> (WHO 2007b).  This is a result of indoor air pollution leading to </w:t>
      </w:r>
      <w:r w:rsidRPr="00A20C4D">
        <w:t>pneumonia, bronchitis</w:t>
      </w:r>
      <w:r>
        <w:t>,</w:t>
      </w:r>
      <w:r w:rsidRPr="00A20C4D">
        <w:t xml:space="preserve"> lung cancer, chronic</w:t>
      </w:r>
      <w:r>
        <w:t xml:space="preserve"> obstructive pulmonary disease, and a host of other ills </w:t>
      </w:r>
      <w:r w:rsidRPr="007778E7">
        <w:t>(</w:t>
      </w:r>
      <w:r w:rsidRPr="00AA2FE7">
        <w:t>Clark</w:t>
      </w:r>
      <w:r>
        <w:rPr>
          <w:i/>
        </w:rPr>
        <w:t xml:space="preserve"> </w:t>
      </w:r>
      <w:r w:rsidRPr="001F2984">
        <w:rPr>
          <w:i/>
        </w:rPr>
        <w:t>et al.</w:t>
      </w:r>
      <w:r w:rsidRPr="001F2984">
        <w:t xml:space="preserve"> </w:t>
      </w:r>
      <w:r w:rsidRPr="00B52269">
        <w:t>2007</w:t>
      </w:r>
      <w:r>
        <w:t>; Smith-Silvertsen</w:t>
      </w:r>
      <w:r w:rsidRPr="004863A6">
        <w:t xml:space="preserve"> </w:t>
      </w:r>
      <w:r w:rsidRPr="00581661">
        <w:rPr>
          <w:i/>
        </w:rPr>
        <w:t>et al</w:t>
      </w:r>
      <w:r>
        <w:t xml:space="preserve">. </w:t>
      </w:r>
      <w:r w:rsidRPr="004863A6">
        <w:t>2004</w:t>
      </w:r>
      <w:r>
        <w:t>; Diaz</w:t>
      </w:r>
      <w:r w:rsidRPr="004863A6">
        <w:t xml:space="preserve"> </w:t>
      </w:r>
      <w:r w:rsidRPr="00581661">
        <w:rPr>
          <w:i/>
        </w:rPr>
        <w:t>et al</w:t>
      </w:r>
      <w:r>
        <w:rPr>
          <w:i/>
        </w:rPr>
        <w:t>.</w:t>
      </w:r>
      <w:r w:rsidRPr="004863A6">
        <w:t xml:space="preserve"> 2007</w:t>
      </w:r>
      <w:r>
        <w:t xml:space="preserve">). </w:t>
      </w:r>
    </w:p>
    <w:p w:rsidR="00B35F2F" w:rsidRDefault="00B35F2F" w:rsidP="00C84046">
      <w:r>
        <w:rPr>
          <w:color w:val="000000"/>
        </w:rPr>
        <w:t xml:space="preserve">The most convincing evidence to date linking emissions from cookstoves and poor health comes from the </w:t>
      </w:r>
      <w:r w:rsidRPr="00A20C4D">
        <w:t xml:space="preserve">RESPIRE study in </w:t>
      </w:r>
      <w:r>
        <w:t xml:space="preserve">rural </w:t>
      </w:r>
      <w:smartTag w:uri="urn:schemas-microsoft-com:office:smarttags" w:element="country-region">
        <w:r w:rsidRPr="00A20C4D">
          <w:t>Guatemala</w:t>
        </w:r>
      </w:smartTag>
      <w:r>
        <w:t>.  The RESPIRE study found that moving from a traditional smoky indoor cookstove to a large built-in stove with a chimney reduced both exposure to carbon monoxide and women’s self-</w:t>
      </w:r>
      <w:r w:rsidRPr="00A20C4D">
        <w:t xml:space="preserve">reported health symptoms. </w:t>
      </w:r>
      <w:r>
        <w:t xml:space="preserve"> Importantly, the improved stoves also reduced the </w:t>
      </w:r>
      <w:r w:rsidRPr="00A20C4D">
        <w:t>incidence of childhood pneumonia</w:t>
      </w:r>
      <w:r>
        <w:t xml:space="preserve"> (Smith-Silvertsen</w:t>
      </w:r>
      <w:r w:rsidRPr="004863A6">
        <w:t xml:space="preserve"> </w:t>
      </w:r>
      <w:r w:rsidRPr="00581661">
        <w:rPr>
          <w:i/>
        </w:rPr>
        <w:t>et al</w:t>
      </w:r>
      <w:r w:rsidRPr="004863A6">
        <w:t xml:space="preserve"> </w:t>
      </w:r>
      <w:r>
        <w:t xml:space="preserve">. </w:t>
      </w:r>
      <w:r w:rsidRPr="004863A6">
        <w:t>2004</w:t>
      </w:r>
      <w:r>
        <w:t>; Diaz</w:t>
      </w:r>
      <w:r w:rsidRPr="004863A6">
        <w:t xml:space="preserve"> </w:t>
      </w:r>
      <w:r w:rsidRPr="00581661">
        <w:rPr>
          <w:i/>
        </w:rPr>
        <w:t>et al</w:t>
      </w:r>
      <w:r>
        <w:rPr>
          <w:i/>
        </w:rPr>
        <w:t>.</w:t>
      </w:r>
      <w:r w:rsidRPr="004863A6">
        <w:t xml:space="preserve"> 2007</w:t>
      </w:r>
      <w:r>
        <w:t xml:space="preserve">).  These results are consistent with the large literature </w:t>
      </w:r>
      <w:r>
        <w:lastRenderedPageBreak/>
        <w:t>linking improved cookstoves to reduced emissions in carefully controlled conditions (e.g.,  McCracken and Smith 1988, Ezzati and Kammen 2002, Ezzati, Saleh, and Kammen 2000</w:t>
      </w:r>
      <w:r w:rsidRPr="00A20C4D">
        <w:t>, Ezzati, Mbin</w:t>
      </w:r>
      <w:r>
        <w:t>da, and Kammen 2000</w:t>
      </w:r>
      <w:r w:rsidRPr="00A20C4D">
        <w:t>,</w:t>
      </w:r>
      <w:r>
        <w:t xml:space="preserve"> Dasgupta </w:t>
      </w:r>
      <w:r w:rsidRPr="005F4523">
        <w:rPr>
          <w:i/>
        </w:rPr>
        <w:t>et al.</w:t>
      </w:r>
      <w:r>
        <w:t xml:space="preserve"> 2004a, Dasgupta </w:t>
      </w:r>
      <w:r w:rsidRPr="005F4523">
        <w:rPr>
          <w:i/>
        </w:rPr>
        <w:t>et al.</w:t>
      </w:r>
      <w:r>
        <w:t xml:space="preserve"> 2004b, Dherani </w:t>
      </w:r>
      <w:r w:rsidRPr="005F4523">
        <w:rPr>
          <w:i/>
        </w:rPr>
        <w:t>et al.</w:t>
      </w:r>
      <w:r>
        <w:t xml:space="preserve"> 2008, and </w:t>
      </w:r>
      <w:r w:rsidRPr="00A20C4D">
        <w:t xml:space="preserve"> Albalek </w:t>
      </w:r>
      <w:r w:rsidRPr="005F4523">
        <w:rPr>
          <w:i/>
        </w:rPr>
        <w:t xml:space="preserve">et al. </w:t>
      </w:r>
      <w:r>
        <w:t>2001).</w:t>
      </w:r>
    </w:p>
    <w:p w:rsidR="00B35F2F" w:rsidRDefault="00B35F2F" w:rsidP="00C84046">
      <w:pPr>
        <w:pStyle w:val="ListParagraph"/>
        <w:ind w:left="0"/>
      </w:pPr>
      <w:r>
        <w:t xml:space="preserve">Further, traditional stoves also have high costs of fuel.  In rural Africa these costs are primarily the many hours a week women and youth spend gathering fuel each week (Blackden and Wodon 2006), time that may come at the expense of education </w:t>
      </w:r>
      <w:r w:rsidRPr="00F0631D">
        <w:t xml:space="preserve"> </w:t>
      </w:r>
      <w:r>
        <w:t xml:space="preserve">(Bruce </w:t>
      </w:r>
      <w:r>
        <w:rPr>
          <w:i/>
        </w:rPr>
        <w:t>et al.</w:t>
      </w:r>
      <w:r>
        <w:t xml:space="preserve"> 2006)</w:t>
      </w:r>
      <w:r w:rsidRPr="00F0631D">
        <w:t>.</w:t>
      </w:r>
      <w:r>
        <w:t xml:space="preserve"> </w:t>
      </w:r>
    </w:p>
    <w:p w:rsidR="00B35F2F" w:rsidRDefault="00B35F2F" w:rsidP="00C84046">
      <w:r>
        <w:t>Inefficient cookstoves also contribute to deforestation (</w:t>
      </w:r>
      <w:r w:rsidRPr="0087443F">
        <w:t>United Nations Convention to Combat Desertification 2010</w:t>
      </w:r>
      <w:r>
        <w:t xml:space="preserve">) that contributes to global climate change.  By one estimate </w:t>
      </w:r>
      <w:r w:rsidRPr="00A20C4D">
        <w:t xml:space="preserve">household energy use in </w:t>
      </w:r>
      <w:smartTag w:uri="urn:schemas-microsoft-com:office:smarttags" w:element="country-region">
        <w:r w:rsidRPr="00A20C4D">
          <w:t>Africa</w:t>
        </w:r>
      </w:smartTag>
      <w:r w:rsidRPr="00A20C4D">
        <w:t xml:space="preserve"> </w:t>
      </w:r>
      <w:r>
        <w:t xml:space="preserve">is on track to </w:t>
      </w:r>
      <w:r w:rsidRPr="00A20C4D">
        <w:t>produce 6.7 billion tons of carbon</w:t>
      </w:r>
      <w:r>
        <w:t xml:space="preserve"> </w:t>
      </w:r>
      <w:r w:rsidRPr="00A20C4D">
        <w:t>by 2050</w:t>
      </w:r>
      <w:r>
        <w:t xml:space="preserve"> (Bailis </w:t>
      </w:r>
      <w:r w:rsidRPr="00692899">
        <w:rPr>
          <w:i/>
        </w:rPr>
        <w:t>et al.</w:t>
      </w:r>
      <w:r>
        <w:t xml:space="preserve"> 2005)</w:t>
      </w:r>
      <w:r w:rsidRPr="0087443F">
        <w:t>.</w:t>
      </w:r>
      <w:r w:rsidRPr="00A20C4D">
        <w:t xml:space="preserve"> </w:t>
      </w:r>
      <w:r>
        <w:t xml:space="preserve"> </w:t>
      </w:r>
    </w:p>
    <w:p w:rsidR="00B35F2F" w:rsidRDefault="00B35F2F" w:rsidP="00C84046">
      <w:pPr>
        <w:rPr>
          <w:lang w:eastAsia="en-US"/>
        </w:rPr>
      </w:pPr>
      <w:r w:rsidRPr="00A20C4D">
        <w:t xml:space="preserve">Despite </w:t>
      </w:r>
      <w:r>
        <w:t xml:space="preserve">generations of </w:t>
      </w:r>
      <w:r w:rsidRPr="00A20C4D">
        <w:t>efforts</w:t>
      </w:r>
      <w:r>
        <w:t xml:space="preserve"> designing and disseminating </w:t>
      </w:r>
      <w:r w:rsidRPr="00A20C4D">
        <w:t>improved biomass stoves</w:t>
      </w:r>
      <w:r>
        <w:t>, they</w:t>
      </w:r>
      <w:r w:rsidRPr="00A20C4D">
        <w:t xml:space="preserve"> have yet </w:t>
      </w:r>
      <w:r>
        <w:t xml:space="preserve">to </w:t>
      </w:r>
      <w:r w:rsidRPr="00A20C4D">
        <w:t>reach</w:t>
      </w:r>
      <w:r>
        <w:t xml:space="preserve"> most of the world’s poor </w:t>
      </w:r>
      <w:r w:rsidRPr="00AA2FE7">
        <w:t>(</w:t>
      </w:r>
      <w:r w:rsidRPr="009E3E61">
        <w:t>Household Energy Network 20</w:t>
      </w:r>
      <w:r>
        <w:t xml:space="preserve">08). </w:t>
      </w:r>
      <w:r w:rsidRPr="00A20C4D">
        <w:t xml:space="preserve"> </w:t>
      </w:r>
      <w:r w:rsidRPr="002435F8">
        <w:rPr>
          <w:lang w:eastAsia="en-US"/>
        </w:rPr>
        <w:t>Authors of the few existing rigorous evaluations of the impacts of improved stoves cite</w:t>
      </w:r>
      <w:r>
        <w:rPr>
          <w:lang w:eastAsia="en-US"/>
        </w:rPr>
        <w:t xml:space="preserve"> </w:t>
      </w:r>
      <w:r w:rsidRPr="002435F8">
        <w:rPr>
          <w:lang w:eastAsia="en-US"/>
        </w:rPr>
        <w:t>the wide agreement in the scientific community that additional rigorous evaluations are</w:t>
      </w:r>
      <w:r>
        <w:rPr>
          <w:lang w:eastAsia="en-US"/>
        </w:rPr>
        <w:t xml:space="preserve"> </w:t>
      </w:r>
      <w:r w:rsidRPr="002435F8">
        <w:rPr>
          <w:lang w:eastAsia="en-US"/>
        </w:rPr>
        <w:t>needed to accurately evaluate the impacts of improved stoves, particularly on health (Bruce</w:t>
      </w:r>
      <w:r>
        <w:rPr>
          <w:lang w:eastAsia="en-US"/>
        </w:rPr>
        <w:t xml:space="preserve"> </w:t>
      </w:r>
      <w:r w:rsidRPr="002435F8">
        <w:rPr>
          <w:i/>
          <w:iCs/>
          <w:lang w:eastAsia="en-US"/>
        </w:rPr>
        <w:t>et al</w:t>
      </w:r>
      <w:r>
        <w:rPr>
          <w:lang w:eastAsia="en-US"/>
        </w:rPr>
        <w:t>. 2006; Smith</w:t>
      </w:r>
      <w:r w:rsidRPr="002435F8">
        <w:rPr>
          <w:lang w:eastAsia="en-US"/>
        </w:rPr>
        <w:t xml:space="preserve"> </w:t>
      </w:r>
      <w:r w:rsidRPr="002435F8">
        <w:rPr>
          <w:i/>
          <w:iCs/>
          <w:lang w:eastAsia="en-US"/>
        </w:rPr>
        <w:t xml:space="preserve">et al. </w:t>
      </w:r>
      <w:r>
        <w:rPr>
          <w:lang w:eastAsia="en-US"/>
        </w:rPr>
        <w:t>2000; Duflo</w:t>
      </w:r>
      <w:r w:rsidRPr="002435F8">
        <w:rPr>
          <w:lang w:eastAsia="en-US"/>
        </w:rPr>
        <w:t xml:space="preserve"> </w:t>
      </w:r>
      <w:r w:rsidRPr="002435F8">
        <w:rPr>
          <w:i/>
          <w:iCs/>
          <w:lang w:eastAsia="en-US"/>
        </w:rPr>
        <w:t xml:space="preserve">et al. </w:t>
      </w:r>
      <w:r w:rsidRPr="002435F8">
        <w:rPr>
          <w:lang w:eastAsia="en-US"/>
        </w:rPr>
        <w:t>2008).</w:t>
      </w:r>
    </w:p>
    <w:p w:rsidR="00B35F2F" w:rsidRDefault="00B35F2F" w:rsidP="00C84046">
      <w:r w:rsidRPr="00692ABC">
        <w:t xml:space="preserve">Rigorous evaluations are crucial to </w:t>
      </w:r>
      <w:r>
        <w:t xml:space="preserve">understand the key issues present in both the supply and demand side of the adoption of an improved stove and to help craft solutions. The business and policy response should be quite different if the main barrier is poor stove design versus credit constraints versus lack of consumer information. </w:t>
      </w:r>
    </w:p>
    <w:p w:rsidR="00B35F2F" w:rsidRDefault="00B35F2F" w:rsidP="00C84046">
      <w:pPr>
        <w:pStyle w:val="NoSpacing"/>
        <w:ind w:firstLine="432"/>
        <w:jc w:val="both"/>
      </w:pPr>
      <w:r>
        <w:t xml:space="preserve">The importance of clean cookstoves has gained significant attention in the field of public health and international development, culminating in establishment of the over $60 million public-private partnership of the Global Alliance for Clean Cookstoves in September 2010. The Alliances’ goal is for 100 million homes to adopt clean and efficient stoves and fuels by 2020. This paper contributes directly to realizing that goal through imparting key lessons on how to effectively measure the impacts of an improved stove on wood use, time spent collecting wood, and respiratory health and carbon monoxide. </w:t>
      </w:r>
    </w:p>
    <w:p w:rsidR="00B35F2F" w:rsidRPr="005B44B7" w:rsidRDefault="00B35F2F" w:rsidP="00C84046">
      <w:pPr>
        <w:pStyle w:val="NoSpacing"/>
        <w:ind w:firstLine="432"/>
        <w:jc w:val="both"/>
      </w:pPr>
      <w:r>
        <w:t xml:space="preserve">The objectives of this RCT are to measure the effects of the introduction of a solar oven on health, fuel use and time spent collecting fuel, and actual stove usage.  In particular, because the solar oven requires a significant shift in behavior associated with cooking on a traditional wood-burning stove, we are interested in measuring whether households solar ovens can achieve similar effects as those of chimney stoves documented in the RESPIRE study.  </w:t>
      </w:r>
    </w:p>
    <w:p w:rsidR="00B35F2F" w:rsidRDefault="00B35F2F" w:rsidP="00C84046">
      <w:pPr>
        <w:pStyle w:val="Heading1"/>
      </w:pPr>
      <w:bookmarkStart w:id="2" w:name="_Toc267679934"/>
      <w:r>
        <w:t xml:space="preserve">Methods </w:t>
      </w:r>
    </w:p>
    <w:bookmarkEnd w:id="2"/>
    <w:p w:rsidR="00B35F2F" w:rsidRPr="00417090" w:rsidRDefault="00B35F2F" w:rsidP="00C84046">
      <w:r w:rsidRPr="00417090">
        <w:t>The</w:t>
      </w:r>
      <w:r>
        <w:t xml:space="preserve"> area we study in the</w:t>
      </w:r>
      <w:r w:rsidRPr="00417090">
        <w:t xml:space="preserve"> </w:t>
      </w:r>
      <w:r>
        <w:t xml:space="preserve">Western Sahel </w:t>
      </w:r>
      <w:r w:rsidRPr="00417090">
        <w:t>semi-desert</w:t>
      </w:r>
      <w:r>
        <w:t xml:space="preserve"> </w:t>
      </w:r>
      <w:r w:rsidRPr="00417090">
        <w:t>Thiès</w:t>
      </w:r>
      <w:r>
        <w:t xml:space="preserve"> region of Senegal is subject to all of the ill-effects of traditional cookstoves listed above: many hours a week spent gathering fuel, high exposure to indoor air pollution, and poor health.</w:t>
      </w:r>
      <w:r>
        <w:rPr>
          <w:rStyle w:val="FootnoteReference"/>
        </w:rPr>
        <w:footnoteReference w:id="1"/>
      </w:r>
      <w:r w:rsidRPr="006930FB">
        <w:t xml:space="preserve"> </w:t>
      </w:r>
      <w:r>
        <w:t xml:space="preserve"> </w:t>
      </w:r>
    </w:p>
    <w:p w:rsidR="00B35F2F" w:rsidRDefault="00B35F2F" w:rsidP="00C84046">
      <w:r>
        <w:t>The area is</w:t>
      </w:r>
      <w:r w:rsidRPr="00417090">
        <w:t xml:space="preserve"> rural and poor.  </w:t>
      </w:r>
      <w:r>
        <w:t>T</w:t>
      </w:r>
      <w:r w:rsidRPr="003F0AE1">
        <w:t>he population is young, with 60%</w:t>
      </w:r>
      <w:r>
        <w:t xml:space="preserve"> under age 25</w:t>
      </w:r>
      <w:r w:rsidRPr="003F0AE1">
        <w:t>. Education levels are low</w:t>
      </w:r>
      <w:r>
        <w:t>:</w:t>
      </w:r>
      <w:r w:rsidRPr="003F0AE1">
        <w:t xml:space="preserve"> </w:t>
      </w:r>
      <w:r>
        <w:t xml:space="preserve">48% of teens 13-18 and 94% of those over 50 </w:t>
      </w:r>
      <w:r w:rsidRPr="003F0AE1">
        <w:t xml:space="preserve">report zero or missing </w:t>
      </w:r>
      <w:r w:rsidRPr="003F0AE1">
        <w:lastRenderedPageBreak/>
        <w:t>education.</w:t>
      </w:r>
      <w:r>
        <w:t xml:space="preserve">  </w:t>
      </w:r>
      <w:r w:rsidRPr="00417090">
        <w:t xml:space="preserve">Women in our sample have mean earnings of $1.86/day and their husbands give them another $3.28/day for household expenditures.  </w:t>
      </w:r>
      <w:r>
        <w:t>Our respondents live in large, often polygamous, h</w:t>
      </w:r>
      <w:r w:rsidRPr="003F0AE1">
        <w:t>ousehold</w:t>
      </w:r>
      <w:r>
        <w:t xml:space="preserve">s, averaging 12 persons, or a per person expenditure of </w:t>
      </w:r>
      <w:r w:rsidRPr="00417090">
        <w:t>43 cents per day.</w:t>
      </w:r>
    </w:p>
    <w:p w:rsidR="00B35F2F" w:rsidRDefault="00B35F2F" w:rsidP="00C84046">
      <w:pPr>
        <w:widowControl/>
        <w:spacing w:before="0" w:after="0"/>
      </w:pPr>
      <w:r>
        <w:t xml:space="preserve">At the baseline 88% of households burn wood, 50% use farm waste, 8% use animal dung, 21% use charcoal (mostly for tea), and 74% use gas (mostly to reheat meals and to cook breakfast).  </w:t>
      </w:r>
      <w:r w:rsidRPr="00417090">
        <w:t xml:space="preserve">The household’s choice of stove depends on the meal, season, and size of household.  </w:t>
      </w:r>
      <w:r>
        <w:t>The choice of the kitchen varies widely as r</w:t>
      </w:r>
      <w:r w:rsidRPr="00417090">
        <w:t xml:space="preserve">espondents </w:t>
      </w:r>
      <w:r>
        <w:t xml:space="preserve">report </w:t>
      </w:r>
      <w:r w:rsidRPr="00417090">
        <w:t>cook</w:t>
      </w:r>
      <w:r>
        <w:t>ing</w:t>
      </w:r>
      <w:r w:rsidRPr="00417090">
        <w:t xml:space="preserve"> in a semi-enclosed kitchen (49%), an enclosed kitchen with no windows (21%); a kitchen with th</w:t>
      </w:r>
      <w:r>
        <w:t>atch roof but no walls (20%); or</w:t>
      </w:r>
      <w:r w:rsidRPr="00417090">
        <w:t xml:space="preserve"> outdoors (10%). </w:t>
      </w:r>
    </w:p>
    <w:p w:rsidR="00B35F2F" w:rsidRDefault="00B35F2F" w:rsidP="00C84046">
      <w:r>
        <w:t xml:space="preserve">With these facts in mind, the NGO </w:t>
      </w:r>
      <w:r w:rsidRPr="004E26CF">
        <w:t>Solar Household Energy, Inc. (SHE</w:t>
      </w:r>
      <w:r>
        <w:t xml:space="preserve">) approached the local NGO Tostan, active in community development in Senegal, about deploying SHE’s HotPot solar oven in Senegal.  </w:t>
      </w:r>
    </w:p>
    <w:p w:rsidR="00B35F2F" w:rsidRDefault="00B35F2F" w:rsidP="00C84046">
      <w:r>
        <w:t xml:space="preserve">The HotPot- a panel solar cooker- uses a reflector to direct sunlight to a 5-liter black enameled steel pot that is within a larger tempered glass bowl with a lid.  Heating occurs both from sunlight striking the black pot and from the greenhouse effect within the larger glass bowl.  Effective cooking requires that the user angle the reflector to the sun, shifting it ever hour or so.  </w:t>
      </w:r>
      <w:r w:rsidRPr="004E26CF">
        <w:t>Under a tropical sun</w:t>
      </w:r>
      <w:r>
        <w:t xml:space="preserve"> the</w:t>
      </w:r>
      <w:r w:rsidRPr="004E26CF">
        <w:t xml:space="preserve"> </w:t>
      </w:r>
      <w:r>
        <w:t>HotPot</w:t>
      </w:r>
      <w:r w:rsidRPr="004E26CF">
        <w:t xml:space="preserve"> can cook rice in under an hour, a chicken in about two </w:t>
      </w:r>
      <w:r>
        <w:t>hours, and beans in four hours</w:t>
      </w:r>
      <w:r w:rsidRPr="004E26CF">
        <w:t>.</w:t>
      </w:r>
      <w:r>
        <w:t xml:space="preserve"> In 2007 </w:t>
      </w:r>
      <w:r w:rsidRPr="00A20C4D">
        <w:t xml:space="preserve">SHE </w:t>
      </w:r>
      <w:r>
        <w:t xml:space="preserve">carried out </w:t>
      </w:r>
      <w:r w:rsidRPr="00A20C4D">
        <w:t xml:space="preserve">a small pilot study in Méckhé, Senegal </w:t>
      </w:r>
      <w:r>
        <w:t xml:space="preserve">with 20 consumers. SHE staff reported all the women </w:t>
      </w:r>
      <w:r w:rsidRPr="00A20C4D">
        <w:t>found the stove fit well with the</w:t>
      </w:r>
      <w:r>
        <w:t>ir</w:t>
      </w:r>
      <w:r w:rsidRPr="00A20C4D">
        <w:t xml:space="preserve"> needs</w:t>
      </w:r>
      <w:r>
        <w:t xml:space="preserve">. </w:t>
      </w:r>
    </w:p>
    <w:p w:rsidR="00B35F2F" w:rsidRDefault="00B35F2F" w:rsidP="00C84046">
      <w:r>
        <w:t xml:space="preserve">Tostan </w:t>
      </w:r>
      <w:r w:rsidRPr="00061A94">
        <w:t xml:space="preserve">selected </w:t>
      </w:r>
      <w:r>
        <w:t xml:space="preserve">20 villages that cooked primarily with wood in the Thiès region in northern Senegal for this pilot.  Tostan also selected villages that had at least five years experience with Tostan.  </w:t>
      </w:r>
      <w:r w:rsidRPr="00061A94">
        <w:t>SHE trained Tostan staff</w:t>
      </w:r>
      <w:r>
        <w:t xml:space="preserve"> on using the solar ovens.  SHE and Tostan then carried out </w:t>
      </w:r>
      <w:r w:rsidRPr="00061A94">
        <w:t>trainings and marketing demonstrations on how to cook with the Hotpot from Jan-March 2008.</w:t>
      </w:r>
    </w:p>
    <w:p w:rsidR="00B35F2F" w:rsidRDefault="00B35F2F" w:rsidP="00C84046">
      <w:r w:rsidRPr="00061A94">
        <w:t xml:space="preserve">Due to shipping constraints of the HotPot from Mexico to Senegal only half the </w:t>
      </w:r>
      <w:r>
        <w:t xml:space="preserve">target </w:t>
      </w:r>
      <w:r w:rsidRPr="00061A94">
        <w:t>population could receive the stoves at one time</w:t>
      </w:r>
      <w:r>
        <w:t>.  T</w:t>
      </w:r>
      <w:r w:rsidRPr="00061A94">
        <w:t xml:space="preserve">hus the phased intervention fit well with the program needs. </w:t>
      </w:r>
    </w:p>
    <w:p w:rsidR="00B35F2F" w:rsidRDefault="00B35F2F" w:rsidP="00C84046">
      <w:r>
        <w:t xml:space="preserve">A total of 50 solar ovens was available for each of the 20 study villages.  Within each village </w:t>
      </w:r>
      <w:r w:rsidRPr="00061A94">
        <w:t xml:space="preserve">25 households in each village </w:t>
      </w:r>
      <w:r>
        <w:t xml:space="preserve">were to be randomly selected </w:t>
      </w:r>
      <w:r w:rsidRPr="00061A94">
        <w:t xml:space="preserve">to receive the solar oven at the time of the baseline survey (April 2008) and </w:t>
      </w:r>
      <w:r>
        <w:t xml:space="preserve">up to </w:t>
      </w:r>
      <w:r w:rsidRPr="00061A94">
        <w:t xml:space="preserve">25 to receive the oven </w:t>
      </w:r>
      <w:r>
        <w:t>when the second shipment arrived (October</w:t>
      </w:r>
      <w:r w:rsidRPr="00061A94">
        <w:t xml:space="preserve"> 2008)</w:t>
      </w:r>
      <w:r>
        <w:t>.  Most villages had fewer than 50 women enrolled at the time of the randomization, so we have fewer controls than treatments (a ratio of 1.4 treatments per every control).</w:t>
      </w:r>
    </w:p>
    <w:p w:rsidR="00B35F2F" w:rsidRDefault="00B35F2F" w:rsidP="00C84046">
      <w:r>
        <w:t xml:space="preserve">Both the baseline and six month follow-up surveys covered demographics, </w:t>
      </w:r>
      <w:r w:rsidRPr="004E26CF">
        <w:t>fuel use, time collecting fuel, cooking practi</w:t>
      </w:r>
      <w:r>
        <w:t>ces- including those associated with the solar oven</w:t>
      </w:r>
      <w:r w:rsidRPr="004E26CF">
        <w:t>, self</w:t>
      </w:r>
      <w:r>
        <w:t>-</w:t>
      </w:r>
      <w:r w:rsidRPr="004E26CF">
        <w:t xml:space="preserve">reported respiratory </w:t>
      </w:r>
      <w:r>
        <w:t xml:space="preserve">symptoms </w:t>
      </w:r>
      <w:r w:rsidRPr="004E26CF">
        <w:t xml:space="preserve">for </w:t>
      </w:r>
      <w:r>
        <w:t xml:space="preserve">respondents </w:t>
      </w:r>
      <w:r w:rsidRPr="004E26CF">
        <w:t>and their children</w:t>
      </w:r>
      <w:r>
        <w:t>,</w:t>
      </w:r>
      <w:r w:rsidRPr="004E26CF">
        <w:t xml:space="preserve"> </w:t>
      </w:r>
      <w:r>
        <w:t xml:space="preserve">and cooking-related </w:t>
      </w:r>
      <w:r w:rsidRPr="004E26CF">
        <w:t>symptoms for</w:t>
      </w:r>
      <w:r>
        <w:t xml:space="preserve"> respondents</w:t>
      </w:r>
      <w:r w:rsidRPr="004E26CF">
        <w:t>.</w:t>
      </w:r>
      <w:r w:rsidRPr="004E26CF">
        <w:rPr>
          <w:rStyle w:val="FootnoteReference"/>
          <w:rFonts w:ascii="Calibri" w:hAnsi="Calibri"/>
        </w:rPr>
        <w:footnoteReference w:id="2"/>
      </w:r>
      <w:r>
        <w:t xml:space="preserve"> </w:t>
      </w:r>
      <w:r w:rsidRPr="004E26CF">
        <w:t xml:space="preserve"> </w:t>
      </w:r>
      <w:r>
        <w:t xml:space="preserve">For a subset of participating households we also </w:t>
      </w:r>
      <w:r w:rsidRPr="004E26CF">
        <w:t>measure</w:t>
      </w:r>
      <w:r>
        <w:t>d</w:t>
      </w:r>
      <w:r w:rsidRPr="004E26CF">
        <w:t xml:space="preserve"> carbon monoxide exposure for women cooking the lunch meal. </w:t>
      </w:r>
      <w:r>
        <w:t xml:space="preserve">At those households we also collected </w:t>
      </w:r>
      <w:r w:rsidRPr="004E26CF">
        <w:t>information on the cooking structure, time spent cooking lunch</w:t>
      </w:r>
      <w:r>
        <w:t>,</w:t>
      </w:r>
      <w:r w:rsidRPr="004E26CF">
        <w:t xml:space="preserve"> and types of fuel. </w:t>
      </w:r>
    </w:p>
    <w:p w:rsidR="00B35F2F" w:rsidRPr="00CF1A8C" w:rsidRDefault="00B35F2F" w:rsidP="00C84046">
      <w:pPr>
        <w:pStyle w:val="Heading3"/>
      </w:pPr>
      <w:bookmarkStart w:id="3" w:name="_Toc267679938"/>
      <w:r w:rsidRPr="005C2842">
        <w:t>Stove Utilization</w:t>
      </w:r>
      <w:bookmarkEnd w:id="3"/>
      <w:r w:rsidRPr="00CF1A8C">
        <w:t xml:space="preserve"> </w:t>
      </w:r>
    </w:p>
    <w:p w:rsidR="00B35F2F" w:rsidRDefault="00B35F2F" w:rsidP="00C84046">
      <w:r w:rsidRPr="007B646A">
        <w:t xml:space="preserve">Following Ruiz-Mercado </w:t>
      </w:r>
      <w:r w:rsidRPr="007B646A">
        <w:rPr>
          <w:i/>
        </w:rPr>
        <w:t>et al.</w:t>
      </w:r>
      <w:r w:rsidRPr="007B646A">
        <w:t xml:space="preserve"> </w:t>
      </w:r>
      <w:r>
        <w:t xml:space="preserve">(2008), we used ibuttons as our stove usage monitors </w:t>
      </w:r>
      <w:r>
        <w:lastRenderedPageBreak/>
        <w:t xml:space="preserve">(SUMs).  The ibutton is </w:t>
      </w:r>
      <w:r w:rsidRPr="004E26CF">
        <w:t xml:space="preserve">a computer micro-chip enclosed in a 16mm thick stainless steel case, which </w:t>
      </w:r>
      <w:r>
        <w:t xml:space="preserve">we </w:t>
      </w:r>
      <w:r w:rsidRPr="004E26CF">
        <w:t xml:space="preserve">installed on the lid of all </w:t>
      </w:r>
      <w:r>
        <w:t>solar ovens</w:t>
      </w:r>
      <w:r w:rsidRPr="004E26CF">
        <w:t>.</w:t>
      </w:r>
      <w:r w:rsidRPr="004E26CF">
        <w:rPr>
          <w:rStyle w:val="FootnoteReference"/>
          <w:rFonts w:ascii="Calibri" w:hAnsi="Calibri"/>
        </w:rPr>
        <w:footnoteReference w:id="3"/>
      </w:r>
      <w:r w:rsidRPr="004E26CF">
        <w:t xml:space="preserve"> </w:t>
      </w:r>
    </w:p>
    <w:p w:rsidR="00B35F2F" w:rsidRDefault="00B35F2F" w:rsidP="00C84046">
      <w:r w:rsidRPr="004E26CF">
        <w:t xml:space="preserve">We programmed the SUMs to take temperature readings every 30 minutes. The SUMs </w:t>
      </w:r>
      <w:r>
        <w:t xml:space="preserve">data indicate </w:t>
      </w:r>
      <w:r w:rsidRPr="004E26CF">
        <w:t>clear spikes when the solar oven is used</w:t>
      </w:r>
      <w:r>
        <w:t xml:space="preserve">; </w:t>
      </w:r>
      <w:r w:rsidRPr="004E26CF">
        <w:t xml:space="preserve">we use </w:t>
      </w:r>
      <w:r>
        <w:t xml:space="preserve">a reading of </w:t>
      </w:r>
      <w:r w:rsidRPr="004E26CF">
        <w:t>110</w:t>
      </w:r>
      <w:r>
        <w:rPr>
          <w:rFonts w:cs="Calibri"/>
        </w:rPr>
        <w:t>°</w:t>
      </w:r>
      <w:r>
        <w:t>F (43</w:t>
      </w:r>
      <w:r>
        <w:rPr>
          <w:rFonts w:cs="Calibri"/>
        </w:rPr>
        <w:t xml:space="preserve">°C) </w:t>
      </w:r>
      <w:r w:rsidRPr="004E26CF">
        <w:t xml:space="preserve">or more </w:t>
      </w:r>
      <w:r>
        <w:t xml:space="preserve">to indicate </w:t>
      </w:r>
      <w:r w:rsidRPr="004E26CF">
        <w:t xml:space="preserve">usage. </w:t>
      </w:r>
      <w:r>
        <w:t xml:space="preserve"> In our field tests, unused solar ovens left outdoors did not reach this temperature.  Results were not sensitive to the precise threshold (see web appendix 1).  </w:t>
      </w:r>
    </w:p>
    <w:p w:rsidR="00B35F2F" w:rsidRDefault="00B35F2F" w:rsidP="00C84046">
      <w:r>
        <w:t>We had SUMs in place during the first month of solar oven ownership (April through May 2008) and during the sixth month of stove ownership (October through November 2008).</w:t>
      </w:r>
    </w:p>
    <w:p w:rsidR="00B35F2F" w:rsidRDefault="00B35F2F" w:rsidP="00C84046">
      <w:r>
        <w:t xml:space="preserve">We also asked </w:t>
      </w:r>
      <w:r w:rsidRPr="004E26CF">
        <w:t>self-reported usage rates</w:t>
      </w:r>
      <w:r>
        <w:t xml:space="preserve"> on the</w:t>
      </w:r>
      <w:r w:rsidRPr="004E26CF">
        <w:t xml:space="preserve"> </w:t>
      </w:r>
      <w:r>
        <w:t xml:space="preserve">6 month </w:t>
      </w:r>
      <w:r w:rsidRPr="004E26CF">
        <w:t>follow-up survey</w:t>
      </w:r>
      <w:r>
        <w:t xml:space="preserve">.  Finally, we </w:t>
      </w:r>
      <w:r w:rsidRPr="004E26CF">
        <w:t xml:space="preserve">observed </w:t>
      </w:r>
      <w:r>
        <w:t xml:space="preserve">solar oven </w:t>
      </w:r>
      <w:r w:rsidRPr="004E26CF">
        <w:t xml:space="preserve">usage </w:t>
      </w:r>
      <w:r>
        <w:t xml:space="preserve">during household visits for the </w:t>
      </w:r>
      <w:r w:rsidRPr="004E26CF">
        <w:t xml:space="preserve">follow-up </w:t>
      </w:r>
      <w:r>
        <w:t>survey for the subsample where we measured carbon monoxide exposure.</w:t>
      </w:r>
    </w:p>
    <w:p w:rsidR="00B35F2F" w:rsidRDefault="00B35F2F" w:rsidP="00C84046">
      <w:pPr>
        <w:pStyle w:val="Heading3"/>
      </w:pPr>
      <w:bookmarkStart w:id="4" w:name="_Toc267679939"/>
      <w:r>
        <w:t xml:space="preserve">Primary </w:t>
      </w:r>
      <w:r w:rsidRPr="00B4235F">
        <w:t>Impact</w:t>
      </w:r>
      <w:r>
        <w:t xml:space="preserve"> Measures</w:t>
      </w:r>
      <w:bookmarkEnd w:id="4"/>
    </w:p>
    <w:p w:rsidR="00B35F2F" w:rsidRDefault="00B35F2F" w:rsidP="00C84046">
      <w:r>
        <w:t>H</w:t>
      </w:r>
      <w:r w:rsidRPr="004E26CF">
        <w:t xml:space="preserve">ouseholds </w:t>
      </w:r>
      <w:r>
        <w:t xml:space="preserve">reported the quantity, financial cost, and time cost gathering several fuels last week including: wood, </w:t>
      </w:r>
      <w:r w:rsidRPr="004E26CF">
        <w:t xml:space="preserve">charcoal, gas, animal dung, </w:t>
      </w:r>
      <w:r>
        <w:t xml:space="preserve">and </w:t>
      </w:r>
      <w:r w:rsidRPr="004E26CF">
        <w:t>farm waste</w:t>
      </w:r>
      <w:r>
        <w:t>.  We also weighed the wood respondents designated</w:t>
      </w:r>
      <w:r w:rsidRPr="004E26CF">
        <w:t xml:space="preserve"> they used to cook </w:t>
      </w:r>
      <w:r>
        <w:t xml:space="preserve">the lunch meal </w:t>
      </w:r>
      <w:r w:rsidRPr="004E26CF">
        <w:t>yesterday</w:t>
      </w:r>
      <w:r>
        <w:t xml:space="preserve"> from a large pile.  At the follow-up we weighed the wood respondents indicated they used for all three meals yesterday. </w:t>
      </w:r>
    </w:p>
    <w:p w:rsidR="00B35F2F" w:rsidRDefault="00B35F2F" w:rsidP="00C84046">
      <w:r>
        <w:t>We measured exposure to carbon monoxide with Dräger</w:t>
      </w:r>
      <w:r w:rsidRPr="004E26CF">
        <w:t xml:space="preserve"> Color Diffusion Tubes (</w:t>
      </w:r>
      <w:r>
        <w:t>“</w:t>
      </w:r>
      <w:r w:rsidRPr="004E26CF">
        <w:t>CO tubes</w:t>
      </w:r>
      <w:r>
        <w:t>”</w:t>
      </w:r>
      <w:r w:rsidRPr="004E26CF">
        <w:t>)</w:t>
      </w:r>
      <w:r>
        <w:t>.  T</w:t>
      </w:r>
      <w:r w:rsidRPr="004E26CF">
        <w:t xml:space="preserve">he </w:t>
      </w:r>
      <w:r>
        <w:t xml:space="preserve">CO tubes </w:t>
      </w:r>
      <w:r w:rsidRPr="004E26CF">
        <w:t xml:space="preserve">measure the </w:t>
      </w:r>
      <w:r>
        <w:t>t</w:t>
      </w:r>
      <w:r w:rsidRPr="004E26CF">
        <w:t>ime</w:t>
      </w:r>
      <w:r>
        <w:t>-w</w:t>
      </w:r>
      <w:r w:rsidRPr="004E26CF">
        <w:t xml:space="preserve">eighted </w:t>
      </w:r>
      <w:r>
        <w:t>a</w:t>
      </w:r>
      <w:r w:rsidRPr="004E26CF">
        <w:t xml:space="preserve">verage concentrations of </w:t>
      </w:r>
      <w:r>
        <w:t>carbon monoxide</w:t>
      </w:r>
      <w:r w:rsidRPr="004E26CF">
        <w:t xml:space="preserve"> in </w:t>
      </w:r>
      <w:r>
        <w:t>parts per million per hour (</w:t>
      </w:r>
      <w:r w:rsidRPr="004E26CF">
        <w:t>ppm/hour</w:t>
      </w:r>
      <w:r>
        <w:t>)</w:t>
      </w:r>
      <w:r w:rsidRPr="004E26CF">
        <w:t>.</w:t>
      </w:r>
      <w:r>
        <w:t xml:space="preserve">  We </w:t>
      </w:r>
      <w:r w:rsidRPr="004E26CF">
        <w:t>multipl</w:t>
      </w:r>
      <w:r>
        <w:t>ied</w:t>
      </w:r>
      <w:r w:rsidRPr="004E26CF">
        <w:t xml:space="preserve"> </w:t>
      </w:r>
      <w:r>
        <w:t xml:space="preserve">the reading </w:t>
      </w:r>
      <w:r w:rsidRPr="004E26CF">
        <w:t xml:space="preserve">by </w:t>
      </w:r>
      <w:r>
        <w:t xml:space="preserve">a factor to adjust for local </w:t>
      </w:r>
      <w:r w:rsidRPr="004E26CF">
        <w:t>humidity</w:t>
      </w:r>
      <w:r>
        <w:t xml:space="preserve"> levels and top-coded </w:t>
      </w:r>
      <w:r w:rsidRPr="004E26CF">
        <w:t xml:space="preserve">the </w:t>
      </w:r>
      <w:r>
        <w:t xml:space="preserve">6 month </w:t>
      </w:r>
      <w:r w:rsidRPr="004E26CF">
        <w:t>CO data</w:t>
      </w:r>
      <w:r>
        <w:t xml:space="preserve">, bringing 5 of our 275 observations </w:t>
      </w:r>
      <w:r w:rsidRPr="004E26CF">
        <w:t xml:space="preserve">down to the </w:t>
      </w:r>
      <w:r>
        <w:t>95</w:t>
      </w:r>
      <w:r w:rsidRPr="00007C06">
        <w:rPr>
          <w:vertAlign w:val="superscript"/>
        </w:rPr>
        <w:t>th</w:t>
      </w:r>
      <w:r>
        <w:t xml:space="preserve"> percentile (32.19 ppm/hour)</w:t>
      </w:r>
      <w:r w:rsidRPr="004E26CF">
        <w:t xml:space="preserve">. </w:t>
      </w:r>
    </w:p>
    <w:p w:rsidR="00B35F2F" w:rsidRDefault="00B35F2F" w:rsidP="00C84046">
      <w:r>
        <w:t>W</w:t>
      </w:r>
      <w:r w:rsidRPr="004E26CF">
        <w:t xml:space="preserve">ith the help of </w:t>
      </w:r>
      <w:r>
        <w:t xml:space="preserve">Tostan’s </w:t>
      </w:r>
      <w:r w:rsidRPr="004E26CF">
        <w:t>local village</w:t>
      </w:r>
      <w:r>
        <w:t xml:space="preserve"> point person, we selected a subset of h</w:t>
      </w:r>
      <w:r w:rsidRPr="004E26CF">
        <w:t xml:space="preserve">ouseholds randomly to receive the </w:t>
      </w:r>
      <w:r>
        <w:t xml:space="preserve">CO tube.  However, enumerators were instructed to skip </w:t>
      </w:r>
      <w:r w:rsidRPr="004E26CF">
        <w:t>household</w:t>
      </w:r>
      <w:r>
        <w:t>s</w:t>
      </w:r>
      <w:r w:rsidRPr="004E26CF">
        <w:t xml:space="preserve"> </w:t>
      </w:r>
      <w:r>
        <w:t xml:space="preserve">who were cooking only </w:t>
      </w:r>
      <w:r w:rsidRPr="004E26CF">
        <w:t>with gas.</w:t>
      </w:r>
      <w:r>
        <w:t xml:space="preserve">  Unfortunately, we did not retain the count of treatment and control women and compounds that were not given CO tubes because they cooked with gas. </w:t>
      </w:r>
    </w:p>
    <w:p w:rsidR="00B35F2F" w:rsidRDefault="00B35F2F" w:rsidP="00C84046">
      <w:r w:rsidRPr="004E26CF">
        <w:t>To measu</w:t>
      </w:r>
      <w:r>
        <w:t xml:space="preserve">re exposure to carbon monoxide </w:t>
      </w:r>
      <w:r w:rsidRPr="004E26CF">
        <w:t xml:space="preserve">while cooking lunch, enumerators attached </w:t>
      </w:r>
      <w:r>
        <w:t xml:space="preserve">the CO tube </w:t>
      </w:r>
      <w:r w:rsidRPr="004E26CF">
        <w:t xml:space="preserve">to </w:t>
      </w:r>
      <w:r>
        <w:t xml:space="preserve">each cook’s </w:t>
      </w:r>
      <w:r w:rsidRPr="004E26CF">
        <w:t>attire</w:t>
      </w:r>
      <w:r>
        <w:t xml:space="preserve"> </w:t>
      </w:r>
      <w:r w:rsidRPr="004E26CF">
        <w:t xml:space="preserve">in the morning in each of our 20 villages (between 8:30-10:00am) and collected them about 5 hours later (2:00-3:30 p.m.) after lunch. </w:t>
      </w:r>
      <w:r>
        <w:t xml:space="preserve"> </w:t>
      </w:r>
    </w:p>
    <w:p w:rsidR="00B35F2F" w:rsidRDefault="00B35F2F" w:rsidP="00C84046">
      <w:r>
        <w:t xml:space="preserve">We asked women to self-report if in the last 7 days they had experienced any of the seven respiratory illness symptoms: </w:t>
      </w:r>
      <w:r w:rsidRPr="004E26CF">
        <w:t>fever; sore throat; runny</w:t>
      </w:r>
      <w:r>
        <w:t xml:space="preserve"> or </w:t>
      </w:r>
      <w:r w:rsidRPr="004E26CF">
        <w:t>stuffy nose; cough; wheezing or trouble breathing; woke up with chest heaviness at night; and</w:t>
      </w:r>
      <w:r>
        <w:t xml:space="preserve"> </w:t>
      </w:r>
      <w:r w:rsidRPr="004E26CF">
        <w:t>coughed up mucus.</w:t>
      </w:r>
      <w:r>
        <w:t xml:space="preserve">  At each survey round we also asked them to report on 4 symptoms for each of their children</w:t>
      </w:r>
      <w:r w:rsidRPr="004E26CF">
        <w:t xml:space="preserve">: cough or difficulty breathing; cold and coughed up mucus; runny or stuffy nose; </w:t>
      </w:r>
      <w:r>
        <w:t xml:space="preserve">and </w:t>
      </w:r>
      <w:r w:rsidRPr="004E26CF">
        <w:t>wheezing.</w:t>
      </w:r>
      <w:r>
        <w:t xml:space="preserve">  At the follow-up we also asked respondents to report all seven respiratory illness symptoms for their husbands.  We also collected self-reported symptoms associated with traditional cookfires: </w:t>
      </w:r>
      <w:r w:rsidRPr="004E26CF">
        <w:t>eye discomfort, headache, irritated throat, and back pain</w:t>
      </w:r>
      <w:r>
        <w:t xml:space="preserve"> during cooking (as in Diaz </w:t>
      </w:r>
      <w:r w:rsidRPr="00817A1D">
        <w:rPr>
          <w:i/>
        </w:rPr>
        <w:t>et al.</w:t>
      </w:r>
      <w:r>
        <w:t xml:space="preserve"> 2007).</w:t>
      </w:r>
      <w:r w:rsidRPr="004E26CF">
        <w:t xml:space="preserve"> </w:t>
      </w:r>
    </w:p>
    <w:p w:rsidR="00B35F2F" w:rsidRDefault="00B35F2F" w:rsidP="00C84046">
      <w:pPr>
        <w:pStyle w:val="Heading2"/>
      </w:pPr>
      <w:bookmarkStart w:id="5" w:name="_Toc267679943"/>
      <w:r>
        <w:t>Estimation</w:t>
      </w:r>
      <w:bookmarkEnd w:id="5"/>
      <w:r>
        <w:t xml:space="preserve"> </w:t>
      </w:r>
    </w:p>
    <w:p w:rsidR="00B35F2F" w:rsidRDefault="00B35F2F" w:rsidP="00C84046">
      <w:r w:rsidRPr="004E26CF">
        <w:t xml:space="preserve">We analyze the impacts </w:t>
      </w:r>
      <w:r>
        <w:rPr>
          <w:i/>
        </w:rPr>
        <w:t>Y</w:t>
      </w:r>
      <w:r>
        <w:rPr>
          <w:i/>
          <w:vertAlign w:val="subscript"/>
        </w:rPr>
        <w:t>vi1</w:t>
      </w:r>
      <w:r>
        <w:rPr>
          <w:i/>
        </w:rPr>
        <w:t xml:space="preserve"> </w:t>
      </w:r>
      <w:r>
        <w:t xml:space="preserve">for woman </w:t>
      </w:r>
      <w:r>
        <w:rPr>
          <w:i/>
        </w:rPr>
        <w:t xml:space="preserve">i </w:t>
      </w:r>
      <w:r>
        <w:t xml:space="preserve">in village </w:t>
      </w:r>
      <w:r>
        <w:rPr>
          <w:i/>
        </w:rPr>
        <w:t xml:space="preserve">v </w:t>
      </w:r>
      <w:r>
        <w:t xml:space="preserve">at the follow-up (time 1) </w:t>
      </w:r>
      <w:r w:rsidRPr="004E26CF">
        <w:t xml:space="preserve">using OLS regressions controlling for </w:t>
      </w:r>
      <w:r>
        <w:t xml:space="preserve">a vector of </w:t>
      </w:r>
      <w:r w:rsidRPr="004E26CF">
        <w:t>baseline characteristics</w:t>
      </w:r>
      <w:r>
        <w:t xml:space="preserve"> (</w:t>
      </w:r>
      <w:r w:rsidRPr="00B4235F">
        <w:rPr>
          <w:i/>
        </w:rPr>
        <w:t>X</w:t>
      </w:r>
      <w:r w:rsidRPr="00B4235F">
        <w:rPr>
          <w:i/>
          <w:vertAlign w:val="subscript"/>
        </w:rPr>
        <w:t>vi0</w:t>
      </w:r>
      <w:r>
        <w:t xml:space="preserve">) and a vector of village </w:t>
      </w:r>
      <w:r>
        <w:lastRenderedPageBreak/>
        <w:t xml:space="preserve">fixed effects </w:t>
      </w:r>
      <w:r w:rsidRPr="00B4235F">
        <w:rPr>
          <w:i/>
        </w:rPr>
        <w:t>FE</w:t>
      </w:r>
      <w:r w:rsidRPr="00B4235F">
        <w:rPr>
          <w:i/>
          <w:vertAlign w:val="subscript"/>
        </w:rPr>
        <w:t>v</w:t>
      </w:r>
      <w:r w:rsidRPr="004E26CF">
        <w:t>:</w:t>
      </w:r>
    </w:p>
    <w:p w:rsidR="00B35F2F" w:rsidRPr="00B4235F" w:rsidRDefault="00B35F2F" w:rsidP="00C84046">
      <w:pPr>
        <w:rPr>
          <w:i/>
        </w:rPr>
      </w:pPr>
      <w:r w:rsidRPr="00B4235F">
        <w:rPr>
          <w:i/>
        </w:rPr>
        <w:t>Y</w:t>
      </w:r>
      <w:r w:rsidRPr="00B4235F">
        <w:rPr>
          <w:i/>
          <w:vertAlign w:val="subscript"/>
        </w:rPr>
        <w:t>vi1</w:t>
      </w:r>
      <w:r w:rsidRPr="00B4235F">
        <w:rPr>
          <w:i/>
        </w:rPr>
        <w:t xml:space="preserve"> = </w:t>
      </w:r>
      <w:r w:rsidRPr="00956896">
        <w:rPr>
          <w:i/>
        </w:rPr>
        <w:t>Σ</w:t>
      </w:r>
      <w:r>
        <w:rPr>
          <w:i/>
          <w:vertAlign w:val="subscript"/>
        </w:rPr>
        <w:t>sj</w:t>
      </w:r>
      <w:r w:rsidRPr="00956896">
        <w:rPr>
          <w:i/>
        </w:rPr>
        <w:t xml:space="preserve"> </w:t>
      </w:r>
      <w:r w:rsidRPr="00B4235F">
        <w:rPr>
          <w:i/>
        </w:rPr>
        <w:t>β</w:t>
      </w:r>
      <w:r>
        <w:rPr>
          <w:i/>
          <w:vertAlign w:val="subscript"/>
        </w:rPr>
        <w:t>s</w:t>
      </w:r>
      <w:r w:rsidRPr="00B4235F">
        <w:rPr>
          <w:i/>
        </w:rPr>
        <w:t xml:space="preserve"> T</w:t>
      </w:r>
      <w:r w:rsidRPr="00B4235F">
        <w:rPr>
          <w:i/>
          <w:vertAlign w:val="subscript"/>
        </w:rPr>
        <w:t>v</w:t>
      </w:r>
      <w:r>
        <w:rPr>
          <w:i/>
          <w:vertAlign w:val="subscript"/>
        </w:rPr>
        <w:t>s</w:t>
      </w:r>
      <w:r w:rsidRPr="00B4235F">
        <w:rPr>
          <w:i/>
          <w:vertAlign w:val="subscript"/>
        </w:rPr>
        <w:t>i</w:t>
      </w:r>
      <w:r w:rsidRPr="00B4235F">
        <w:rPr>
          <w:i/>
        </w:rPr>
        <w:t xml:space="preserve"> </w:t>
      </w:r>
      <w:r>
        <w:rPr>
          <w:i/>
        </w:rPr>
        <w:t xml:space="preserve"> size</w:t>
      </w:r>
      <w:r>
        <w:rPr>
          <w:i/>
          <w:vertAlign w:val="subscript"/>
        </w:rPr>
        <w:t xml:space="preserve">vi1 </w:t>
      </w:r>
      <w:r w:rsidRPr="00B4235F">
        <w:rPr>
          <w:i/>
        </w:rPr>
        <w:t>+ Σ</w:t>
      </w:r>
      <w:r w:rsidRPr="00B4235F">
        <w:rPr>
          <w:i/>
          <w:vertAlign w:val="subscript"/>
        </w:rPr>
        <w:t>k</w:t>
      </w:r>
      <w:r w:rsidRPr="00B4235F">
        <w:rPr>
          <w:i/>
        </w:rPr>
        <w:t xml:space="preserve"> γ</w:t>
      </w:r>
      <w:r w:rsidRPr="00B4235F">
        <w:rPr>
          <w:i/>
          <w:vertAlign w:val="subscript"/>
        </w:rPr>
        <w:t>k</w:t>
      </w:r>
      <w:r w:rsidRPr="00B4235F">
        <w:rPr>
          <w:i/>
        </w:rPr>
        <w:t xml:space="preserve"> X</w:t>
      </w:r>
      <w:r w:rsidRPr="00B4235F">
        <w:rPr>
          <w:i/>
          <w:vertAlign w:val="subscript"/>
        </w:rPr>
        <w:t>vik0</w:t>
      </w:r>
      <w:r w:rsidRPr="00B4235F">
        <w:rPr>
          <w:i/>
        </w:rPr>
        <w:t xml:space="preserve"> +    Σ</w:t>
      </w:r>
      <w:r w:rsidRPr="00B4235F">
        <w:rPr>
          <w:i/>
          <w:vertAlign w:val="subscript"/>
        </w:rPr>
        <w:t>v</w:t>
      </w:r>
      <w:r w:rsidRPr="00B4235F">
        <w:rPr>
          <w:i/>
        </w:rPr>
        <w:t xml:space="preserve"> </w:t>
      </w:r>
      <w:r w:rsidRPr="008A0518">
        <w:rPr>
          <w:i/>
        </w:rPr>
        <w:t>δ</w:t>
      </w:r>
      <w:r>
        <w:rPr>
          <w:i/>
          <w:vertAlign w:val="subscript"/>
        </w:rPr>
        <w:t>v</w:t>
      </w:r>
      <w:r>
        <w:rPr>
          <w:i/>
        </w:rPr>
        <w:t xml:space="preserve"> </w:t>
      </w:r>
      <w:r w:rsidRPr="00B4235F">
        <w:rPr>
          <w:i/>
        </w:rPr>
        <w:t>FE</w:t>
      </w:r>
      <w:r w:rsidRPr="00B4235F">
        <w:rPr>
          <w:i/>
          <w:vertAlign w:val="subscript"/>
        </w:rPr>
        <w:t>v</w:t>
      </w:r>
      <w:r w:rsidRPr="00B4235F">
        <w:rPr>
          <w:i/>
        </w:rPr>
        <w:t xml:space="preserve"> + ε</w:t>
      </w:r>
      <w:r w:rsidRPr="00B4235F">
        <w:rPr>
          <w:i/>
          <w:vertAlign w:val="subscript"/>
        </w:rPr>
        <w:t>vi</w:t>
      </w:r>
      <w:r w:rsidRPr="00B4235F">
        <w:rPr>
          <w:i/>
        </w:rPr>
        <w:t xml:space="preserve"> </w:t>
      </w:r>
    </w:p>
    <w:p w:rsidR="00B35F2F" w:rsidRDefault="00B35F2F" w:rsidP="00C84046">
      <w:pPr>
        <w:ind w:firstLine="0"/>
      </w:pPr>
      <w:r>
        <w:t xml:space="preserve">where </w:t>
      </w:r>
      <w:r w:rsidRPr="00B644B0">
        <w:rPr>
          <w:i/>
        </w:rPr>
        <w:t>T</w:t>
      </w:r>
      <w:r w:rsidRPr="00B644B0">
        <w:rPr>
          <w:i/>
          <w:vertAlign w:val="subscript"/>
        </w:rPr>
        <w:t>v</w:t>
      </w:r>
      <w:r>
        <w:rPr>
          <w:i/>
          <w:vertAlign w:val="subscript"/>
        </w:rPr>
        <w:t>s</w:t>
      </w:r>
      <w:r w:rsidRPr="00B644B0">
        <w:rPr>
          <w:i/>
          <w:vertAlign w:val="subscript"/>
        </w:rPr>
        <w:t>i</w:t>
      </w:r>
      <w:r w:rsidRPr="00B644B0">
        <w:rPr>
          <w:i/>
        </w:rPr>
        <w:t xml:space="preserve"> </w:t>
      </w:r>
      <w:r w:rsidRPr="00B644B0">
        <w:t>is a dummy equal to one for treatment homes</w:t>
      </w:r>
      <w:r>
        <w:t xml:space="preserve"> of size category </w:t>
      </w:r>
      <w:r>
        <w:rPr>
          <w:i/>
        </w:rPr>
        <w:t xml:space="preserve">s. </w:t>
      </w:r>
      <w:r>
        <w:t xml:space="preserve"> Because it is plausible the solar ovens had larger effects for smaller households, we interact the treatment effect with three categories of household </w:t>
      </w:r>
      <w:r w:rsidRPr="005C2842">
        <w:rPr>
          <w:i/>
        </w:rPr>
        <w:t>size</w:t>
      </w:r>
      <w:r>
        <w:rPr>
          <w:i/>
          <w:vertAlign w:val="subscript"/>
        </w:rPr>
        <w:t>iv1</w:t>
      </w:r>
      <w:r>
        <w:t xml:space="preserve">: 6 or fewer people, 7-12, and 13 or more.  </w:t>
      </w:r>
    </w:p>
    <w:p w:rsidR="00B35F2F" w:rsidRDefault="00B35F2F" w:rsidP="00C84046">
      <w:r>
        <w:t>The baseline h</w:t>
      </w:r>
      <w:r w:rsidRPr="004E26CF">
        <w:t xml:space="preserve">ousehold </w:t>
      </w:r>
      <w:r>
        <w:t>characteristics include</w:t>
      </w:r>
      <w:r w:rsidRPr="004E26CF">
        <w:t xml:space="preserve"> the number of people women report cooking for</w:t>
      </w:r>
      <w:r>
        <w:t xml:space="preserve"> and its square</w:t>
      </w:r>
      <w:r w:rsidRPr="004E26CF">
        <w:t>, wood</w:t>
      </w:r>
      <w:r>
        <w:t xml:space="preserve"> </w:t>
      </w:r>
      <w:r w:rsidRPr="004E26CF">
        <w:t xml:space="preserve">use </w:t>
      </w:r>
      <w:r>
        <w:t xml:space="preserve">at </w:t>
      </w:r>
      <w:r w:rsidRPr="004E26CF">
        <w:t>lunch</w:t>
      </w:r>
      <w:r>
        <w:t xml:space="preserve"> the day prior to the baseline</w:t>
      </w:r>
      <w:r w:rsidRPr="004E26CF">
        <w:t xml:space="preserve">, the amount of money spent weekly on wood, the amount of money spent weekly on gas, the amount of money spent weekly on charcoal, kilograms of rice, </w:t>
      </w:r>
      <w:r>
        <w:t xml:space="preserve">3 indicators for </w:t>
      </w:r>
      <w:r w:rsidRPr="004E26CF">
        <w:t>women’s salary</w:t>
      </w:r>
      <w:r>
        <w:t xml:space="preserve"> </w:t>
      </w:r>
      <w:r w:rsidRPr="004E26CF">
        <w:t>categor</w:t>
      </w:r>
      <w:r>
        <w:t>y</w:t>
      </w:r>
      <w:r w:rsidRPr="004E26CF">
        <w:t xml:space="preserve">, and </w:t>
      </w:r>
      <w:r>
        <w:t>3 indicators for the category of the husband’s financial contribution to the household</w:t>
      </w:r>
      <w:r w:rsidRPr="004E26CF">
        <w:t xml:space="preserve">. </w:t>
      </w:r>
      <w:r>
        <w:t>Continuous measures</w:t>
      </w:r>
      <w:r w:rsidRPr="004E26CF">
        <w:t xml:space="preserve"> were bottom</w:t>
      </w:r>
      <w:r>
        <w:t xml:space="preserve">- </w:t>
      </w:r>
      <w:r w:rsidRPr="004E26CF">
        <w:t>and top</w:t>
      </w:r>
      <w:r>
        <w:t>-</w:t>
      </w:r>
      <w:r w:rsidRPr="004E26CF">
        <w:t xml:space="preserve">coded </w:t>
      </w:r>
      <w:r>
        <w:t xml:space="preserve">to the </w:t>
      </w:r>
      <w:r w:rsidRPr="004E26CF">
        <w:t>5</w:t>
      </w:r>
      <w:r w:rsidRPr="00ED368F">
        <w:rPr>
          <w:vertAlign w:val="superscript"/>
        </w:rPr>
        <w:t>th</w:t>
      </w:r>
      <w:r>
        <w:t xml:space="preserve"> and 95</w:t>
      </w:r>
      <w:r w:rsidRPr="00ED368F">
        <w:rPr>
          <w:vertAlign w:val="superscript"/>
        </w:rPr>
        <w:t>th</w:t>
      </w:r>
      <w:r>
        <w:t xml:space="preserve"> percentiles</w:t>
      </w:r>
      <w:r w:rsidRPr="004E26CF">
        <w:t xml:space="preserve"> to </w:t>
      </w:r>
      <w:r>
        <w:t>reduce the influence of outliers</w:t>
      </w:r>
      <w:r w:rsidRPr="004E26CF">
        <w:t>.</w:t>
      </w:r>
      <w:r>
        <w:t xml:space="preserve"> </w:t>
      </w:r>
      <w:r w:rsidRPr="006A41D9">
        <w:t xml:space="preserve"> </w:t>
      </w:r>
      <w:r w:rsidRPr="004E26CF">
        <w:t xml:space="preserve">To maintain sample size, we include a dummy when </w:t>
      </w:r>
      <w:r>
        <w:t xml:space="preserve">observations on a control variable </w:t>
      </w:r>
      <w:r w:rsidRPr="004E26CF">
        <w:t xml:space="preserve">were missing, and impute </w:t>
      </w:r>
      <w:r>
        <w:t xml:space="preserve">that value at its </w:t>
      </w:r>
      <w:r w:rsidRPr="004E26CF">
        <w:t>mean.</w:t>
      </w:r>
    </w:p>
    <w:p w:rsidR="00B35F2F" w:rsidRPr="006930FB" w:rsidRDefault="00B35F2F" w:rsidP="00C84046">
      <w:r w:rsidRPr="00B4235F">
        <w:t>It is possible the number of people a woman cooks for at the follow-up is affected by having a solar oven.  Thus, we re-</w:t>
      </w:r>
      <w:r w:rsidRPr="006930FB">
        <w:t xml:space="preserve">estimate </w:t>
      </w:r>
      <w:r w:rsidRPr="00B4235F">
        <w:t xml:space="preserve">equation 1, but </w:t>
      </w:r>
      <w:r>
        <w:t xml:space="preserve">instrument for </w:t>
      </w:r>
      <w:r w:rsidRPr="00B4235F">
        <w:t xml:space="preserve">the number of people a </w:t>
      </w:r>
      <w:r w:rsidRPr="006930FB">
        <w:t>woman cooks for at the follow-up survey (and interactions with treatment) with the number she cooked for at baseline (and interactions with treatment).</w:t>
      </w:r>
      <w:r>
        <w:t xml:space="preserve">  The first stage is very strong (see web appendix 2). </w:t>
      </w:r>
    </w:p>
    <w:p w:rsidR="00B35F2F" w:rsidRDefault="00B35F2F" w:rsidP="00C84046">
      <w:r>
        <w:t xml:space="preserve">We </w:t>
      </w:r>
      <w:r w:rsidRPr="00B4235F">
        <w:t>also measured household membership converting children into adult equivalents</w:t>
      </w:r>
      <w:r>
        <w:t xml:space="preserve"> (as in Atkinson</w:t>
      </w:r>
      <w:r w:rsidRPr="00A40E67">
        <w:t xml:space="preserve"> </w:t>
      </w:r>
      <w:r w:rsidRPr="00A40E67">
        <w:rPr>
          <w:bCs/>
          <w:i/>
          <w:iCs/>
        </w:rPr>
        <w:t>et al.</w:t>
      </w:r>
      <w:r>
        <w:rPr>
          <w:bCs/>
          <w:i/>
          <w:iCs/>
        </w:rPr>
        <w:t xml:space="preserve"> </w:t>
      </w:r>
      <w:r w:rsidRPr="00A40E67">
        <w:t>1995)</w:t>
      </w:r>
      <w:r>
        <w:t xml:space="preserve">. We then examine quartiles of adjusted household size and their interactions with treatment.  We report these robustness checks only for wood usage, as they had no effect on other specifications. </w:t>
      </w:r>
    </w:p>
    <w:p w:rsidR="00B35F2F" w:rsidRDefault="00B35F2F" w:rsidP="00C84046">
      <w:pPr>
        <w:pStyle w:val="Heading3"/>
      </w:pPr>
      <w:bookmarkStart w:id="6" w:name="RANGE!A2"/>
      <w:bookmarkStart w:id="7" w:name="_Toc267679950"/>
      <w:bookmarkEnd w:id="6"/>
      <w:r>
        <w:t xml:space="preserve">Pipeline </w:t>
      </w:r>
      <w:bookmarkEnd w:id="7"/>
      <w:r>
        <w:t>analysis</w:t>
      </w:r>
    </w:p>
    <w:p w:rsidR="00B35F2F" w:rsidRDefault="00B35F2F" w:rsidP="00C84046">
      <w:r>
        <w:t xml:space="preserve">At </w:t>
      </w:r>
      <w:r w:rsidRPr="004E26CF">
        <w:t xml:space="preserve">baseline </w:t>
      </w:r>
      <w:r>
        <w:t>we surveyed</w:t>
      </w:r>
      <w:r w:rsidRPr="004E26CF">
        <w:t xml:space="preserve"> </w:t>
      </w:r>
      <w:r>
        <w:t xml:space="preserve">838 </w:t>
      </w:r>
      <w:r w:rsidRPr="004E26CF">
        <w:t xml:space="preserve">of the envisioned 1000 </w:t>
      </w:r>
      <w:r>
        <w:t xml:space="preserve">households </w:t>
      </w:r>
      <w:r w:rsidRPr="004E26CF">
        <w:t xml:space="preserve">in </w:t>
      </w:r>
      <w:r>
        <w:t xml:space="preserve">the combined </w:t>
      </w:r>
      <w:r w:rsidRPr="004E26CF">
        <w:t xml:space="preserve">control </w:t>
      </w:r>
      <w:r>
        <w:t xml:space="preserve">plus </w:t>
      </w:r>
      <w:r w:rsidRPr="004E26CF">
        <w:t>treatment group</w:t>
      </w:r>
      <w:r>
        <w:t>s (Table 1)</w:t>
      </w:r>
      <w:r w:rsidRPr="004E26CF">
        <w:t>.</w:t>
      </w:r>
      <w:r>
        <w:t xml:space="preserve">  </w:t>
      </w:r>
    </w:p>
    <w:p w:rsidR="00B35F2F" w:rsidRDefault="00B35F2F" w:rsidP="00C84046">
      <w:r>
        <w:t xml:space="preserve">Twelve treatment </w:t>
      </w:r>
      <w:r w:rsidRPr="004E26CF">
        <w:t>households</w:t>
      </w:r>
      <w:r>
        <w:t xml:space="preserve"> (4%)</w:t>
      </w:r>
      <w:r w:rsidRPr="004E26CF">
        <w:t xml:space="preserve"> </w:t>
      </w:r>
      <w:r>
        <w:t>returned their solar ovens and dropped out of the treatment group, typically due to a financial shock such as a health problem</w:t>
      </w:r>
      <w:r w:rsidRPr="004E26CF">
        <w:t>.</w:t>
      </w:r>
      <w:r>
        <w:t xml:space="preserve">  Tostan redistributed these solar ovens to control homes leading to a small amount of leakage. Thirty-six control households (10%) dropped out of the program as well.  </w:t>
      </w:r>
    </w:p>
    <w:p w:rsidR="00B35F2F" w:rsidRDefault="00B35F2F" w:rsidP="00C84046">
      <w:r>
        <w:t xml:space="preserve">Contrary to the intended study design, 33% (260) </w:t>
      </w:r>
      <w:r w:rsidRPr="004E26CF">
        <w:t xml:space="preserve">of our participant households </w:t>
      </w:r>
      <w:r>
        <w:t>lived in a compound with one or more other study participant.</w:t>
      </w:r>
      <w:r>
        <w:rPr>
          <w:rStyle w:val="FootnoteReference"/>
        </w:rPr>
        <w:footnoteReference w:id="4"/>
      </w:r>
      <w:r>
        <w:t xml:space="preserve"> </w:t>
      </w:r>
      <w:r w:rsidRPr="004E26CF">
        <w:t xml:space="preserve">We use this </w:t>
      </w:r>
      <w:r>
        <w:t xml:space="preserve">unintended </w:t>
      </w:r>
      <w:r w:rsidRPr="004E26CF">
        <w:t xml:space="preserve">overlap to test whether </w:t>
      </w:r>
      <w:r>
        <w:t xml:space="preserve">solar ovens are more effective in </w:t>
      </w:r>
      <w:r w:rsidRPr="004E26CF">
        <w:t xml:space="preserve">compounds with </w:t>
      </w:r>
      <w:r>
        <w:t xml:space="preserve">multiple solar </w:t>
      </w:r>
      <w:r w:rsidRPr="004E26CF">
        <w:t>oven</w:t>
      </w:r>
      <w:r>
        <w:t>s</w:t>
      </w:r>
      <w:r w:rsidRPr="004E26CF">
        <w:t xml:space="preserve">. </w:t>
      </w:r>
    </w:p>
    <w:p w:rsidR="00B35F2F" w:rsidRDefault="00B35F2F" w:rsidP="00C84046">
      <w:pPr>
        <w:rPr>
          <w:lang w:val="en-GB"/>
        </w:rPr>
      </w:pPr>
      <w:r w:rsidRPr="004E26CF">
        <w:t>Of</w:t>
      </w:r>
      <w:r>
        <w:t xml:space="preserve"> the </w:t>
      </w:r>
      <w:r w:rsidRPr="004E26CF">
        <w:t>79</w:t>
      </w:r>
      <w:r>
        <w:t>0</w:t>
      </w:r>
      <w:r w:rsidRPr="004E26CF">
        <w:t xml:space="preserve"> </w:t>
      </w:r>
      <w:r>
        <w:t xml:space="preserve">participants who made up our final sample, only </w:t>
      </w:r>
      <w:r w:rsidRPr="004E26CF">
        <w:t>736 weighed wood</w:t>
      </w:r>
      <w:r>
        <w:t xml:space="preserve"> at the baseline</w:t>
      </w:r>
      <w:r w:rsidRPr="004E26CF">
        <w:t xml:space="preserve">. </w:t>
      </w:r>
      <w:r>
        <w:t xml:space="preserve"> A</w:t>
      </w:r>
      <w:r w:rsidRPr="004E26CF">
        <w:t xml:space="preserve">t the follow-up </w:t>
      </w:r>
      <w:r>
        <w:t>744</w:t>
      </w:r>
      <w:r w:rsidRPr="004E26CF">
        <w:t xml:space="preserve"> households </w:t>
      </w:r>
      <w:r>
        <w:t xml:space="preserve">took the </w:t>
      </w:r>
      <w:r w:rsidRPr="004E26CF">
        <w:t xml:space="preserve">survey, of which </w:t>
      </w:r>
      <w:r>
        <w:t>677</w:t>
      </w:r>
      <w:r w:rsidRPr="004E26CF">
        <w:t xml:space="preserve"> also weighed wood. </w:t>
      </w:r>
      <w:r>
        <w:t>Of those missing wood weighing, 67% on the baseline survey and 64% on the follow-up are due to the household reports she cooks primarily with gas.  The additional missing 18 households at baseline (24 at the six month follow-up) are due</w:t>
      </w:r>
      <w:r>
        <w:rPr>
          <w:lang w:val="en-GB"/>
        </w:rPr>
        <w:t xml:space="preserve"> to data collection error. </w:t>
      </w:r>
    </w:p>
    <w:p w:rsidR="00B35F2F" w:rsidRDefault="00B35F2F" w:rsidP="00C84046">
      <w:pPr>
        <w:rPr>
          <w:lang w:val="en-GB"/>
        </w:rPr>
      </w:pPr>
      <w:r>
        <w:rPr>
          <w:lang w:val="en-GB"/>
        </w:rPr>
        <w:t>We permitted</w:t>
      </w:r>
      <w:r w:rsidRPr="004E26CF">
        <w:rPr>
          <w:lang w:val="en-GB"/>
        </w:rPr>
        <w:t xml:space="preserve"> other </w:t>
      </w:r>
      <w:r w:rsidRPr="004E26CF">
        <w:t xml:space="preserve">women (usually from the same compound) to </w:t>
      </w:r>
      <w:r>
        <w:t xml:space="preserve">complete </w:t>
      </w:r>
      <w:r w:rsidRPr="004E26CF">
        <w:t xml:space="preserve">the survey if the </w:t>
      </w:r>
      <w:r>
        <w:t>enroll</w:t>
      </w:r>
      <w:r w:rsidRPr="004E26CF">
        <w:t xml:space="preserve">ed woman </w:t>
      </w:r>
      <w:r>
        <w:t>was</w:t>
      </w:r>
      <w:r w:rsidRPr="004E26CF">
        <w:t xml:space="preserve"> not present.</w:t>
      </w:r>
      <w:r w:rsidRPr="004E26CF">
        <w:rPr>
          <w:lang w:val="en-GB"/>
        </w:rPr>
        <w:t xml:space="preserve"> </w:t>
      </w:r>
      <w:r>
        <w:rPr>
          <w:lang w:val="en-GB"/>
        </w:rPr>
        <w:t xml:space="preserve"> At the follow-up 48% of treatment and 45% of control households had a substitute respondent.  This rate was high in part because </w:t>
      </w:r>
      <w:r w:rsidRPr="004E26CF">
        <w:rPr>
          <w:lang w:val="en-GB"/>
        </w:rPr>
        <w:t>treatment respondents</w:t>
      </w:r>
      <w:r>
        <w:rPr>
          <w:lang w:val="en-GB"/>
        </w:rPr>
        <w:t>,</w:t>
      </w:r>
      <w:r w:rsidRPr="004E26CF">
        <w:rPr>
          <w:lang w:val="en-GB"/>
        </w:rPr>
        <w:t xml:space="preserve"> </w:t>
      </w:r>
      <w:r>
        <w:rPr>
          <w:lang w:val="en-GB"/>
        </w:rPr>
        <w:t>who</w:t>
      </w:r>
      <w:r w:rsidRPr="004E26CF">
        <w:rPr>
          <w:lang w:val="en-GB"/>
        </w:rPr>
        <w:t xml:space="preserve"> had already received their solar oven</w:t>
      </w:r>
      <w:r>
        <w:rPr>
          <w:lang w:val="en-GB"/>
        </w:rPr>
        <w:t>,</w:t>
      </w:r>
      <w:r w:rsidRPr="004E26CF">
        <w:rPr>
          <w:lang w:val="en-GB"/>
        </w:rPr>
        <w:t xml:space="preserve"> had </w:t>
      </w:r>
      <w:r>
        <w:rPr>
          <w:lang w:val="en-GB"/>
        </w:rPr>
        <w:t xml:space="preserve">little </w:t>
      </w:r>
      <w:r w:rsidRPr="004E26CF">
        <w:rPr>
          <w:lang w:val="en-GB"/>
        </w:rPr>
        <w:t>incentive to be present in the village to take the follow-up survey.</w:t>
      </w:r>
      <w:r>
        <w:rPr>
          <w:lang w:val="en-GB"/>
        </w:rPr>
        <w:t xml:space="preserve">  </w:t>
      </w:r>
      <w:r w:rsidRPr="00F54ED7">
        <w:t xml:space="preserve">Additionally, the fish smelting season increased </w:t>
      </w:r>
      <w:r w:rsidRPr="00F54ED7">
        <w:lastRenderedPageBreak/>
        <w:t xml:space="preserve">absenteeism </w:t>
      </w:r>
      <w:r>
        <w:t xml:space="preserve">in the </w:t>
      </w:r>
      <w:r w:rsidRPr="00F54ED7">
        <w:t>two sea-side villages.</w:t>
      </w:r>
    </w:p>
    <w:p w:rsidR="00B35F2F" w:rsidRDefault="00B35F2F" w:rsidP="00C84046">
      <w:pPr>
        <w:pStyle w:val="Heading3"/>
      </w:pPr>
      <w:bookmarkStart w:id="8" w:name="_Toc267679951"/>
      <w:r>
        <w:t>Randomization tests</w:t>
      </w:r>
      <w:bookmarkEnd w:id="8"/>
      <w:r>
        <w:t xml:space="preserve"> </w:t>
      </w:r>
    </w:p>
    <w:p w:rsidR="00B35F2F" w:rsidRDefault="00B35F2F" w:rsidP="00C84046">
      <w:r>
        <w:t xml:space="preserve">We ran a probit equation with the baseline variables listed in Table 2 including education, income, household size, time spent gathering fuel, kilograms of wood used, self-reported health, and so forth.  The results were reassuring in that they collectively did not statistically significantly predict treatment (see web appendix 3). </w:t>
      </w:r>
    </w:p>
    <w:p w:rsidR="00B35F2F" w:rsidRPr="00286CF0" w:rsidRDefault="00B35F2F" w:rsidP="00C84046">
      <w:pPr>
        <w:pStyle w:val="Heading2"/>
        <w:ind w:firstLine="432"/>
      </w:pPr>
      <w:bookmarkStart w:id="9" w:name="_Toc267679952"/>
      <w:r w:rsidRPr="00286CF0">
        <w:t>Summary statistics</w:t>
      </w:r>
      <w:bookmarkEnd w:id="9"/>
      <w:r w:rsidRPr="00286CF0">
        <w:t xml:space="preserve"> </w:t>
      </w:r>
    </w:p>
    <w:p w:rsidR="00B35F2F" w:rsidRDefault="00B35F2F" w:rsidP="00C84046">
      <w:r>
        <w:t>At baseline, h</w:t>
      </w:r>
      <w:r w:rsidRPr="004E26CF">
        <w:t xml:space="preserve">ouseholds </w:t>
      </w:r>
      <w:r>
        <w:t>used an average</w:t>
      </w:r>
      <w:r w:rsidRPr="004E26CF">
        <w:t xml:space="preserve"> </w:t>
      </w:r>
      <w:r>
        <w:t xml:space="preserve">of </w:t>
      </w:r>
      <w:r w:rsidRPr="004E26CF">
        <w:t>6.</w:t>
      </w:r>
      <w:r>
        <w:t>8</w:t>
      </w:r>
      <w:r w:rsidRPr="004E26CF">
        <w:t xml:space="preserve"> </w:t>
      </w:r>
      <w:r>
        <w:t>kg.</w:t>
      </w:r>
      <w:r w:rsidRPr="004E26CF">
        <w:t xml:space="preserve"> of wood to cook the lunch meal. </w:t>
      </w:r>
    </w:p>
    <w:p w:rsidR="00B35F2F" w:rsidRDefault="00B35F2F" w:rsidP="00C84046">
      <w:pPr>
        <w:rPr>
          <w:bCs/>
        </w:rPr>
      </w:pPr>
      <w:r>
        <w:t>For controls t</w:t>
      </w:r>
      <w:r w:rsidRPr="005C1634">
        <w:t>he me</w:t>
      </w:r>
      <w:r>
        <w:t>an</w:t>
      </w:r>
      <w:r w:rsidRPr="005C1634">
        <w:t xml:space="preserve"> </w:t>
      </w:r>
      <w:r>
        <w:t>wood collection time per day for the household was high at baseline (2.3 hours) and more than doubled (to 5.2 hours) at the follow-up.  In addition to performing about half the household’s wood collection, w</w:t>
      </w:r>
      <w:r w:rsidRPr="00E83F3B">
        <w:t xml:space="preserve">omen report spending </w:t>
      </w:r>
      <w:r>
        <w:t xml:space="preserve">an average of 5 hours a day cooking, of which about 3 hours are next to the fire. </w:t>
      </w:r>
    </w:p>
    <w:p w:rsidR="00B35F2F" w:rsidRDefault="00B35F2F" w:rsidP="00C84046">
      <w:pPr>
        <w:rPr>
          <w:bCs/>
        </w:rPr>
      </w:pPr>
      <w:r>
        <w:rPr>
          <w:bCs/>
        </w:rPr>
        <w:t>At baseline 77% of women reported sometimes or always having their children present when they cook and 31% reported sometimes having their children on their back when they cook.</w:t>
      </w:r>
    </w:p>
    <w:p w:rsidR="00B35F2F" w:rsidRDefault="00B35F2F" w:rsidP="00C84046">
      <w:r>
        <w:t>T</w:t>
      </w:r>
      <w:r w:rsidRPr="004E26CF">
        <w:t xml:space="preserve">he average CO </w:t>
      </w:r>
      <w:r>
        <w:t xml:space="preserve">exposure for control women </w:t>
      </w:r>
      <w:r w:rsidRPr="004E26CF">
        <w:t xml:space="preserve">is </w:t>
      </w:r>
      <w:r>
        <w:t xml:space="preserve">6.50 </w:t>
      </w:r>
      <w:r w:rsidRPr="004E26CF">
        <w:t>PPM/hour at the follow-up</w:t>
      </w:r>
      <w:r w:rsidRPr="004E26CF">
        <w:rPr>
          <w:shd w:val="clear" w:color="auto" w:fill="FFFFFF"/>
        </w:rPr>
        <w:t>.</w:t>
      </w:r>
      <w:r w:rsidRPr="004E26CF">
        <w:rPr>
          <w:rStyle w:val="FootnoteReference"/>
          <w:rFonts w:ascii="Calibri" w:hAnsi="Calibri"/>
          <w:shd w:val="clear" w:color="auto" w:fill="FFFFFF"/>
        </w:rPr>
        <w:footnoteReference w:id="5"/>
      </w:r>
      <w:r>
        <w:t xml:space="preserve">  </w:t>
      </w:r>
      <w:r w:rsidRPr="004E26CF">
        <w:t>Multiplying</w:t>
      </w:r>
      <w:r>
        <w:t xml:space="preserve"> this hourly rate times</w:t>
      </w:r>
      <w:r w:rsidRPr="004E26CF">
        <w:t xml:space="preserve"> the </w:t>
      </w:r>
      <w:r>
        <w:t>5</w:t>
      </w:r>
      <w:r w:rsidRPr="004E26CF">
        <w:t xml:space="preserve"> hours daily women report cooking </w:t>
      </w:r>
      <w:r>
        <w:t xml:space="preserve">implies exposure to approximately 32.5 </w:t>
      </w:r>
      <w:r w:rsidRPr="004E26CF">
        <w:t xml:space="preserve">ppm of CO daily. </w:t>
      </w:r>
      <w:r>
        <w:t xml:space="preserve"> This is 130% of the recommended 25 ppm limit for an 8-hour exposure recommended by the </w:t>
      </w:r>
      <w:r w:rsidRPr="004E26CF">
        <w:t>World Health Organization</w:t>
      </w:r>
      <w:r>
        <w:t xml:space="preserve"> (Penney</w:t>
      </w:r>
      <w:r w:rsidRPr="005A0417">
        <w:t xml:space="preserve"> 1998)</w:t>
      </w:r>
      <w:r>
        <w:t>.</w:t>
      </w:r>
      <w:r w:rsidRPr="004E26CF">
        <w:t xml:space="preserve"> </w:t>
      </w:r>
    </w:p>
    <w:p w:rsidR="00B35F2F" w:rsidRDefault="00B35F2F" w:rsidP="00C84046">
      <w:r>
        <w:t xml:space="preserve">Consistent with high smoke exposure, control women at the six-month follow-up reported an average of 2.88 of the four symptoms associated with cooking: </w:t>
      </w:r>
      <w:r w:rsidRPr="00E41BC4">
        <w:t>eye irritation, headache, throat irritation, and backache</w:t>
      </w:r>
      <w:r>
        <w:t xml:space="preserve">.  </w:t>
      </w:r>
    </w:p>
    <w:p w:rsidR="00B35F2F" w:rsidRDefault="00B35F2F" w:rsidP="00C84046">
      <w:r>
        <w:t xml:space="preserve">Control respondents at the follow-up report an average of 3.93 of the seven </w:t>
      </w:r>
      <w:r w:rsidRPr="00A20C4D">
        <w:t>respiratory illness symptoms</w:t>
      </w:r>
      <w:r>
        <w:t xml:space="preserve"> we asked about (cough, sore throat, fever, stuffy nose, trouble breathing, chest heaviness and/or coughed up mucus).  In contrast, these women reported a third fewer symptoms for their husbands (2.20, which is statistically significant less than their wives, P &lt; .01).  It is plausible that exposure to the cookfire is responsible for much of the women’s higher average number of symptoms, although higher awareness of their own symptoms and exposure to children with many infections may also play a role.   Averaging over all children </w:t>
      </w:r>
      <w:r w:rsidRPr="0057098C">
        <w:t xml:space="preserve">under 5 in the household, control children had a mean of 2.51 of four respiratory </w:t>
      </w:r>
      <w:r>
        <w:t xml:space="preserve">symptoms </w:t>
      </w:r>
      <w:r w:rsidRPr="0057098C">
        <w:t xml:space="preserve">at the baseline.  </w:t>
      </w:r>
    </w:p>
    <w:p w:rsidR="00B35F2F" w:rsidRPr="00C60BE8" w:rsidRDefault="00B35F2F" w:rsidP="00C84046">
      <w:pPr>
        <w:pStyle w:val="Heading1"/>
        <w:rPr>
          <w:rStyle w:val="Heading3Char"/>
        </w:rPr>
      </w:pPr>
      <w:r>
        <w:t xml:space="preserve">Results </w:t>
      </w:r>
    </w:p>
    <w:p w:rsidR="00B35F2F" w:rsidRPr="000E3551" w:rsidRDefault="00B35F2F" w:rsidP="00C84046">
      <w:pPr>
        <w:pStyle w:val="Heading2"/>
        <w:rPr>
          <w:b w:val="0"/>
        </w:rPr>
      </w:pPr>
      <w:bookmarkStart w:id="10" w:name="_Toc267679959"/>
      <w:bookmarkStart w:id="11" w:name="_Toc267679962"/>
      <w:r w:rsidRPr="000E3551">
        <w:rPr>
          <w:rStyle w:val="Heading3Char"/>
          <w:rFonts w:ascii="Times New Roman" w:hAnsi="Times New Roman"/>
          <w:b/>
        </w:rPr>
        <w:t>Solar</w:t>
      </w:r>
      <w:r w:rsidRPr="000E3551">
        <w:rPr>
          <w:rStyle w:val="Heading3Char"/>
          <w:b/>
        </w:rPr>
        <w:t xml:space="preserve"> Oven Usage</w:t>
      </w:r>
      <w:bookmarkEnd w:id="10"/>
      <w:r w:rsidRPr="000E3551">
        <w:rPr>
          <w:b w:val="0"/>
        </w:rPr>
        <w:t xml:space="preserve"> </w:t>
      </w:r>
    </w:p>
    <w:p w:rsidR="00B35F2F" w:rsidRDefault="00B35F2F" w:rsidP="00C84046">
      <w:r w:rsidRPr="004E26CF">
        <w:t xml:space="preserve">In the sixth month of having the stove, </w:t>
      </w:r>
      <w:r>
        <w:t xml:space="preserve">SUMs measured use on </w:t>
      </w:r>
      <w:r w:rsidRPr="004E26CF">
        <w:t>1</w:t>
      </w:r>
      <w:r>
        <w:t>9</w:t>
      </w:r>
      <w:r w:rsidRPr="004E26CF">
        <w:t xml:space="preserve">% </w:t>
      </w:r>
      <w:r>
        <w:t xml:space="preserve">of </w:t>
      </w:r>
      <w:r w:rsidRPr="004E26CF">
        <w:t>day</w:t>
      </w:r>
      <w:r>
        <w:t>s</w:t>
      </w:r>
      <w:r w:rsidRPr="004E26CF">
        <w:t xml:space="preserve">. </w:t>
      </w:r>
      <w:r>
        <w:t xml:space="preserve"> The weather that month was sunny enough for the oven to be used almost every day in almost every village.</w:t>
      </w:r>
    </w:p>
    <w:p w:rsidR="00B35F2F" w:rsidRDefault="00B35F2F" w:rsidP="00C84046">
      <w:r>
        <w:t xml:space="preserve">When we asked for complaints about the solar oven, by far the most frequent </w:t>
      </w:r>
      <w:r w:rsidRPr="004E26CF">
        <w:t xml:space="preserve">was </w:t>
      </w:r>
      <w:r>
        <w:t xml:space="preserve">that </w:t>
      </w:r>
      <w:r w:rsidRPr="004E26CF">
        <w:t>the size was too small (50%</w:t>
      </w:r>
      <w:r>
        <w:t xml:space="preserve"> of responses</w:t>
      </w:r>
      <w:r w:rsidRPr="004E26CF">
        <w:t>).</w:t>
      </w:r>
      <w:r>
        <w:rPr>
          <w:rStyle w:val="FootnoteReference"/>
        </w:rPr>
        <w:footnoteReference w:id="6"/>
      </w:r>
      <w:r>
        <w:t xml:space="preserve">  This complaint corresponds with the high number of people our sample cook for; as noted above, at baseline about 90% of respondents </w:t>
      </w:r>
      <w:r>
        <w:lastRenderedPageBreak/>
        <w:t>reported cooking for more than six people (the capacity of the solar oven).</w:t>
      </w:r>
      <w:r>
        <w:rPr>
          <w:rStyle w:val="FootnoteReference"/>
        </w:rPr>
        <w:footnoteReference w:id="7"/>
      </w:r>
      <w:r>
        <w:t xml:space="preserve">  </w:t>
      </w:r>
    </w:p>
    <w:p w:rsidR="00B35F2F" w:rsidRDefault="00B35F2F" w:rsidP="00C84046">
      <w:r>
        <w:t>At the follow-up survey only 7</w:t>
      </w:r>
      <w:r w:rsidRPr="004E26CF">
        <w:t xml:space="preserve">% </w:t>
      </w:r>
      <w:r>
        <w:t xml:space="preserve">of treatments used the solar oven to </w:t>
      </w:r>
      <w:r w:rsidRPr="004E26CF">
        <w:t>prepare part or all of the lunch meal</w:t>
      </w:r>
      <w:r>
        <w:t xml:space="preserve"> yesterday</w:t>
      </w:r>
      <w:r w:rsidRPr="004E26CF">
        <w:t>.</w:t>
      </w:r>
      <w:r>
        <w:t xml:space="preserve"> </w:t>
      </w:r>
      <w:r w:rsidRPr="004E26CF">
        <w:t xml:space="preserve"> </w:t>
      </w:r>
      <w:r>
        <w:t xml:space="preserve">Respondents reported the most common meal they </w:t>
      </w:r>
      <w:r w:rsidRPr="004E26CF">
        <w:t>prepare</w:t>
      </w:r>
      <w:r>
        <w:t xml:space="preserve">d with the solar oven was </w:t>
      </w:r>
      <w:r w:rsidRPr="004E26CF">
        <w:t xml:space="preserve">dinner (40%), </w:t>
      </w:r>
      <w:r>
        <w:t xml:space="preserve">a </w:t>
      </w:r>
      <w:r w:rsidRPr="004E26CF">
        <w:t xml:space="preserve">snack (28%), </w:t>
      </w:r>
      <w:r>
        <w:t xml:space="preserve">or </w:t>
      </w:r>
      <w:r w:rsidRPr="004E26CF">
        <w:t>separate meals for children or diabetics (13%).</w:t>
      </w:r>
      <w:r>
        <w:t xml:space="preserve">  The dinner meal is usually smaller than lunch and often porridge, which is well suited to solar cooking. </w:t>
      </w:r>
      <w:r w:rsidRPr="004E26CF">
        <w:t>As it is a common practice to pre-</w:t>
      </w:r>
      <w:r>
        <w:t>cook</w:t>
      </w:r>
      <w:r w:rsidRPr="004E26CF">
        <w:t xml:space="preserve"> and then reheat </w:t>
      </w:r>
      <w:r>
        <w:t xml:space="preserve">food </w:t>
      </w:r>
      <w:r w:rsidRPr="004E26CF">
        <w:t xml:space="preserve">at meal time, </w:t>
      </w:r>
      <w:r>
        <w:t xml:space="preserve">cooking </w:t>
      </w:r>
      <w:r w:rsidRPr="004E26CF">
        <w:t xml:space="preserve">dinner concurrently with lunch </w:t>
      </w:r>
      <w:r>
        <w:t xml:space="preserve">was </w:t>
      </w:r>
      <w:r w:rsidRPr="004E26CF">
        <w:t xml:space="preserve">consistent with </w:t>
      </w:r>
      <w:r>
        <w:t xml:space="preserve">familiar </w:t>
      </w:r>
      <w:r w:rsidRPr="004E26CF">
        <w:t>cooking methods.</w:t>
      </w:r>
      <w:r>
        <w:t xml:space="preserve">  </w:t>
      </w:r>
    </w:p>
    <w:p w:rsidR="00B35F2F" w:rsidRDefault="00B35F2F" w:rsidP="00C84046">
      <w:r>
        <w:t xml:space="preserve">Importantly, when we observed cooking during the CO survey, every cook who was using the solar oven also had an additional wood or charcoal fire lit.  </w:t>
      </w:r>
    </w:p>
    <w:p w:rsidR="00B35F2F" w:rsidRDefault="00B35F2F" w:rsidP="00C84046">
      <w:r>
        <w:t>T</w:t>
      </w:r>
      <w:r w:rsidRPr="0049162A">
        <w:t xml:space="preserve">he </w:t>
      </w:r>
      <w:r>
        <w:t>stove usage monitor</w:t>
      </w:r>
      <w:r w:rsidRPr="0049162A">
        <w:t xml:space="preserve">s </w:t>
      </w:r>
      <w:r>
        <w:t xml:space="preserve">are </w:t>
      </w:r>
      <w:r w:rsidRPr="0049162A">
        <w:t>critical in measuring stove usage. Solar oven users at the six month follow-up report using their solar oven 38%</w:t>
      </w:r>
      <w:r>
        <w:t xml:space="preserve"> of days</w:t>
      </w:r>
      <w:r w:rsidRPr="0049162A">
        <w:t>, double t</w:t>
      </w:r>
      <w:r>
        <w:t>he 19% rate recorded by SUMs</w:t>
      </w:r>
      <w:r w:rsidRPr="0049162A">
        <w:t xml:space="preserve">. When we observed stove usage at the six month follow-up, for the 17 of the 20 villages where the weather was sunny, 61% of women were using their solar ovens– or more than 3 times the </w:t>
      </w:r>
      <w:r>
        <w:t xml:space="preserve">average </w:t>
      </w:r>
      <w:r w:rsidRPr="0049162A">
        <w:t>usage rate</w:t>
      </w:r>
      <w:r>
        <w:t xml:space="preserve"> on days they did not anticipate our visit</w:t>
      </w:r>
      <w:r w:rsidRPr="0049162A">
        <w:t xml:space="preserve">. </w:t>
      </w:r>
    </w:p>
    <w:p w:rsidR="00B35F2F" w:rsidRDefault="00B35F2F" w:rsidP="00C84046">
      <w:pPr>
        <w:pStyle w:val="Heading2"/>
      </w:pPr>
      <w:r w:rsidRPr="007413B8">
        <w:t>Wood Usage</w:t>
      </w:r>
      <w:bookmarkEnd w:id="11"/>
      <w:r>
        <w:t xml:space="preserve"> </w:t>
      </w:r>
    </w:p>
    <w:p w:rsidR="00B35F2F" w:rsidRDefault="00B35F2F" w:rsidP="00C84046">
      <w:bookmarkStart w:id="12" w:name="RANGE!L6"/>
      <w:bookmarkEnd w:id="12"/>
      <w:r w:rsidRPr="004E26CF">
        <w:t xml:space="preserve">Table </w:t>
      </w:r>
      <w:r>
        <w:t>3</w:t>
      </w:r>
      <w:r w:rsidRPr="004E26CF">
        <w:t xml:space="preserve"> </w:t>
      </w:r>
      <w:r>
        <w:t>presents</w:t>
      </w:r>
      <w:r w:rsidRPr="004E26CF">
        <w:t xml:space="preserve"> the core regression results</w:t>
      </w:r>
      <w:r>
        <w:t xml:space="preserve"> on fuel usage</w:t>
      </w:r>
      <w:r w:rsidRPr="004E26CF">
        <w:t xml:space="preserve">. </w:t>
      </w:r>
      <w:r>
        <w:t>A</w:t>
      </w:r>
      <w:r w:rsidRPr="004E26CF">
        <w:t xml:space="preserve">cross many specifications, the point estimates </w:t>
      </w:r>
      <w:r>
        <w:t xml:space="preserve">shows </w:t>
      </w:r>
      <w:r w:rsidRPr="004E26CF">
        <w:t xml:space="preserve">a </w:t>
      </w:r>
      <w:r>
        <w:t xml:space="preserve">small </w:t>
      </w:r>
      <w:r w:rsidRPr="004E26CF">
        <w:t xml:space="preserve">decline in wood usage </w:t>
      </w:r>
      <w:r>
        <w:t xml:space="preserve">only </w:t>
      </w:r>
      <w:r w:rsidRPr="004E26CF">
        <w:t xml:space="preserve">among </w:t>
      </w:r>
      <w:r>
        <w:t xml:space="preserve">medium-sized (7-12 people) treatment </w:t>
      </w:r>
      <w:r w:rsidRPr="004E26CF">
        <w:t>households</w:t>
      </w:r>
      <w:r>
        <w:t xml:space="preserve">. </w:t>
      </w:r>
    </w:p>
    <w:p w:rsidR="00B35F2F" w:rsidRDefault="00B35F2F" w:rsidP="00C84046">
      <w:r>
        <w:t>In the first model we interact treatment with three household size categories.  Treatment h</w:t>
      </w:r>
      <w:r w:rsidRPr="004E26CF">
        <w:t xml:space="preserve">ouseholds of size 7-12 persons showed a statistically significant drop in daily wood use of </w:t>
      </w:r>
      <w:r>
        <w:t>1.4 kilograms per day (about 14</w:t>
      </w:r>
      <w:r w:rsidRPr="004E26CF">
        <w:t>%</w:t>
      </w:r>
      <w:r>
        <w:t xml:space="preserve"> of the mean).  </w:t>
      </w:r>
      <w:r w:rsidRPr="004E26CF">
        <w:t xml:space="preserve">Households of 6 persons or less or 13 and more do not show any </w:t>
      </w:r>
      <w:r>
        <w:t xml:space="preserve">economically or </w:t>
      </w:r>
      <w:r w:rsidRPr="004E26CF">
        <w:t xml:space="preserve">statistically significant </w:t>
      </w:r>
      <w:r>
        <w:t>change in fuel use.</w:t>
      </w:r>
    </w:p>
    <w:p w:rsidR="00B35F2F" w:rsidRDefault="00B35F2F" w:rsidP="00C84046">
      <w:r>
        <w:t xml:space="preserve">In column 2 we add baseline control variables such as wood usage and measures of income.  The point estimates are almost identical as in column 1.  </w:t>
      </w:r>
    </w:p>
    <w:p w:rsidR="00B35F2F" w:rsidRDefault="00B35F2F" w:rsidP="00C84046">
      <w:r>
        <w:t>We</w:t>
      </w:r>
      <w:r w:rsidRPr="004E26CF">
        <w:t xml:space="preserve"> instrument for the number of people women report cooking for at the follow-up with the number they report cooking for at baseline</w:t>
      </w:r>
      <w:r>
        <w:t xml:space="preserve"> (and the various interactions with treatment status)</w:t>
      </w:r>
      <w:r w:rsidRPr="004E26CF">
        <w:t>.</w:t>
      </w:r>
      <w:r>
        <w:t xml:space="preserve">  </w:t>
      </w:r>
      <w:r w:rsidRPr="004E26CF">
        <w:t>Our results are consistent with the OLS results</w:t>
      </w:r>
      <w:r>
        <w:t>, including the reduced form (Table 3 column 3)</w:t>
      </w:r>
      <w:r w:rsidRPr="004E26CF">
        <w:t xml:space="preserve">. </w:t>
      </w:r>
    </w:p>
    <w:p w:rsidR="00B35F2F" w:rsidRDefault="00B35F2F" w:rsidP="00C84046">
      <w:r>
        <w:t>T</w:t>
      </w:r>
      <w:r w:rsidRPr="004E26CF">
        <w:t xml:space="preserve">o </w:t>
      </w:r>
      <w:r>
        <w:t xml:space="preserve">check </w:t>
      </w:r>
      <w:r w:rsidRPr="004E26CF">
        <w:t>robust</w:t>
      </w:r>
      <w:r>
        <w:t>ness</w:t>
      </w:r>
      <w:r w:rsidRPr="004E26CF">
        <w:t xml:space="preserve"> we </w:t>
      </w:r>
      <w:r>
        <w:t xml:space="preserve">measured </w:t>
      </w:r>
      <w:r w:rsidRPr="004E26CF">
        <w:t xml:space="preserve">kilograms </w:t>
      </w:r>
      <w:r>
        <w:t xml:space="preserve">of wood used four ways: </w:t>
      </w:r>
      <w:r w:rsidRPr="004E26CF">
        <w:t xml:space="preserve">used all day yesterday, used all day yesterday per capita, used </w:t>
      </w:r>
      <w:r>
        <w:t xml:space="preserve">preparing yesterday’s </w:t>
      </w:r>
      <w:r w:rsidRPr="004E26CF">
        <w:t xml:space="preserve">lunch, and used </w:t>
      </w:r>
      <w:r>
        <w:t xml:space="preserve">for yesterday’s lunch </w:t>
      </w:r>
      <w:r w:rsidRPr="004E26CF">
        <w:t>per capita.</w:t>
      </w:r>
      <w:r>
        <w:t xml:space="preserve"> </w:t>
      </w:r>
      <w:r w:rsidRPr="004E26CF">
        <w:t xml:space="preserve"> </w:t>
      </w:r>
      <w:r>
        <w:t xml:space="preserve">We examined only compounds with more than one study participant per compound, looking for a treatment effect among compounds with 2 or more solar ovens.  </w:t>
      </w:r>
      <w:r w:rsidRPr="004E26CF">
        <w:t xml:space="preserve">In all cases, results were similar to those </w:t>
      </w:r>
      <w:r>
        <w:t xml:space="preserve">in Table 3.  When we recoded our sizes of households giving more weight to adults than to children results were similar, though now the wood savings are statistically significant only for the smallest terciles of households equivalent to 6 persons and less (see web appendix 4).  </w:t>
      </w:r>
    </w:p>
    <w:p w:rsidR="00B35F2F" w:rsidRDefault="00B35F2F" w:rsidP="00C84046">
      <w:pPr>
        <w:pStyle w:val="Heading2"/>
      </w:pPr>
      <w:bookmarkStart w:id="13" w:name="_Toc267679964"/>
      <w:r>
        <w:t>T</w:t>
      </w:r>
      <w:r w:rsidRPr="004E26CF">
        <w:t xml:space="preserve">ime spent collecting fuel and cooking </w:t>
      </w:r>
      <w:bookmarkEnd w:id="13"/>
    </w:p>
    <w:p w:rsidR="00B35F2F" w:rsidRDefault="00B35F2F" w:rsidP="00C84046">
      <w:r w:rsidRPr="004E26CF">
        <w:t xml:space="preserve">The regression results show </w:t>
      </w:r>
      <w:r>
        <w:t xml:space="preserve">a small point estimate drop for the </w:t>
      </w:r>
      <w:r w:rsidRPr="004E26CF">
        <w:t xml:space="preserve">treatment effect on the time </w:t>
      </w:r>
      <w:r>
        <w:t xml:space="preserve">spent </w:t>
      </w:r>
      <w:r w:rsidRPr="004E26CF">
        <w:t>collecting fuels</w:t>
      </w:r>
      <w:r>
        <w:t xml:space="preserve"> only for households of size 6 persons or less but the coefficient is not statistically significant </w:t>
      </w:r>
      <w:r w:rsidRPr="00290ADD">
        <w:t>(</w:t>
      </w:r>
      <w:r>
        <w:t>T</w:t>
      </w:r>
      <w:r w:rsidRPr="00290ADD">
        <w:t xml:space="preserve">able </w:t>
      </w:r>
      <w:r>
        <w:t>4</w:t>
      </w:r>
      <w:r w:rsidRPr="00290ADD">
        <w:t xml:space="preserve">, col. </w:t>
      </w:r>
      <w:r>
        <w:t>2</w:t>
      </w:r>
      <w:r w:rsidRPr="00290ADD">
        <w:t xml:space="preserve">). </w:t>
      </w:r>
    </w:p>
    <w:p w:rsidR="00B35F2F" w:rsidRDefault="00B35F2F" w:rsidP="00C84046">
      <w:r>
        <w:lastRenderedPageBreak/>
        <w:t>T</w:t>
      </w:r>
      <w:r w:rsidRPr="00290ADD">
        <w:t xml:space="preserve">reatment status </w:t>
      </w:r>
      <w:r>
        <w:t xml:space="preserve">also </w:t>
      </w:r>
      <w:r w:rsidRPr="00290ADD">
        <w:t>had no detectable effect on the time women spend next to the cook fire</w:t>
      </w:r>
      <w:r>
        <w:t xml:space="preserve"> (Table 4, col. 1)</w:t>
      </w:r>
      <w:r w:rsidRPr="00290ADD">
        <w:t>.</w:t>
      </w:r>
    </w:p>
    <w:p w:rsidR="00B35F2F" w:rsidRDefault="00B35F2F" w:rsidP="00C84046">
      <w:r>
        <w:t xml:space="preserve">To check robustness, we reran the time spent collecting wood models separately on the women’s time and the time of others in her household.  Results were unchanged.   Finally, we run total household time collecting wood constrained by only those whose wood collected lasts less than 2 weeks and find that treatment interacted with households of size 13 persons or more has a coefficient of 207 minutes per week (&gt;4 hours/week) P&lt;.05.  </w:t>
      </w:r>
    </w:p>
    <w:p w:rsidR="00B35F2F" w:rsidRDefault="00B35F2F" w:rsidP="00C84046">
      <w:pPr>
        <w:pStyle w:val="Heading2"/>
      </w:pPr>
      <w:bookmarkStart w:id="14" w:name="_Toc267679967"/>
      <w:r w:rsidRPr="0030259F">
        <w:t>Carbon Monoxide Exposure</w:t>
      </w:r>
      <w:bookmarkEnd w:id="14"/>
      <w:r w:rsidRPr="0030259F">
        <w:t xml:space="preserve"> </w:t>
      </w:r>
    </w:p>
    <w:p w:rsidR="00B35F2F" w:rsidRPr="004E26CF" w:rsidRDefault="00B35F2F" w:rsidP="00C84046">
      <w:r w:rsidRPr="004E26CF">
        <w:t xml:space="preserve">In the follow-up survey </w:t>
      </w:r>
      <w:r>
        <w:t>166</w:t>
      </w:r>
      <w:r w:rsidRPr="004E26CF">
        <w:t xml:space="preserve"> treatment households</w:t>
      </w:r>
      <w:r>
        <w:t xml:space="preserve"> and</w:t>
      </w:r>
      <w:r w:rsidRPr="004E26CF">
        <w:t xml:space="preserve"> 1</w:t>
      </w:r>
      <w:r>
        <w:t>09</w:t>
      </w:r>
      <w:r w:rsidRPr="004E26CF">
        <w:t xml:space="preserve"> control households receive</w:t>
      </w:r>
      <w:r>
        <w:t>d</w:t>
      </w:r>
      <w:r w:rsidRPr="004E26CF">
        <w:t xml:space="preserve"> the CO tube.</w:t>
      </w:r>
      <w:r>
        <w:t xml:space="preserve"> </w:t>
      </w:r>
      <w:r w:rsidRPr="004E26CF">
        <w:t xml:space="preserve"> The mean for </w:t>
      </w:r>
      <w:r>
        <w:t xml:space="preserve">the control group is 6.50 while </w:t>
      </w:r>
      <w:r w:rsidRPr="004E26CF">
        <w:t xml:space="preserve">the treatment group is </w:t>
      </w:r>
      <w:r>
        <w:t xml:space="preserve">8.09 ppm/hour.  </w:t>
      </w:r>
      <w:r w:rsidRPr="004E26CF">
        <w:t>The</w:t>
      </w:r>
      <w:r>
        <w:t xml:space="preserve"> unexpectedly </w:t>
      </w:r>
      <w:r>
        <w:rPr>
          <w:i/>
        </w:rPr>
        <w:t xml:space="preserve">higher </w:t>
      </w:r>
      <w:r>
        <w:t xml:space="preserve">CO exposure among treatments is marginally statistically significant at the 10% level. </w:t>
      </w:r>
    </w:p>
    <w:p w:rsidR="00B35F2F" w:rsidRDefault="00B35F2F" w:rsidP="00C84046">
      <w:r>
        <w:t xml:space="preserve">The regression analysis shows that the marginally significant difference in means is largely due to small households (Table 4, col. 3). </w:t>
      </w:r>
      <w:r w:rsidRPr="004E26CF">
        <w:t xml:space="preserve"> </w:t>
      </w:r>
      <w:r>
        <w:t xml:space="preserve">The coefficient on the interaction of treatment times the woman cooks for 6 persons or less is 6.5 CO PPM/hour, which is statistically significant at the 5% level.  Our sample is small (only 20 treatments with CO tubes had household size 6 or under), but the result is not due to outliers; this group has substantially higher median CO readings than the other groups.  </w:t>
      </w:r>
    </w:p>
    <w:p w:rsidR="00B35F2F" w:rsidRDefault="00B35F2F" w:rsidP="00C84046">
      <w:pPr>
        <w:pStyle w:val="Heading2"/>
      </w:pPr>
      <w:bookmarkStart w:id="15" w:name="_Toc267679968"/>
      <w:r w:rsidRPr="004E26CF">
        <w:t>Self-Reported Health</w:t>
      </w:r>
      <w:bookmarkEnd w:id="15"/>
      <w:r w:rsidRPr="004E26CF">
        <w:t xml:space="preserve"> </w:t>
      </w:r>
    </w:p>
    <w:p w:rsidR="00B35F2F" w:rsidRDefault="00B35F2F" w:rsidP="00C84046">
      <w:bookmarkStart w:id="16" w:name="_Toc257044275"/>
      <w:r>
        <w:t>In the regression analysis (</w:t>
      </w:r>
      <w:r w:rsidRPr="00290ADD">
        <w:t xml:space="preserve">Table </w:t>
      </w:r>
      <w:r>
        <w:t>4</w:t>
      </w:r>
      <w:r w:rsidRPr="00290ADD">
        <w:t xml:space="preserve">, col. </w:t>
      </w:r>
      <w:r>
        <w:t xml:space="preserve">4-6), we analyze women’s reports of symptoms for themselves and their children with controls for village, baseline number cooked for, several other baseline characteristics, and the women’s reports of their husbands’ respiratory symptoms.  </w:t>
      </w:r>
    </w:p>
    <w:p w:rsidR="00B35F2F" w:rsidRDefault="00B35F2F" w:rsidP="00C84046">
      <w:r>
        <w:t>For the count of 4 symptoms associated with cooking (eye irritation, headache, sore eyes, and back ache, col. 4) and self-reported respiratory symptoms (cough, etc., col. 5) there is no statistically significant difference between the treatment and control group.</w:t>
      </w:r>
    </w:p>
    <w:p w:rsidR="00B35F2F" w:rsidRPr="008B1F00" w:rsidRDefault="00B35F2F" w:rsidP="00C84046">
      <w:r>
        <w:t>Finally, we repeat the regression predicting the women’s reports of under-five children’s respiratory symptoms (averaged within the household; col. 6).  C</w:t>
      </w:r>
      <w:r w:rsidRPr="008B1F00">
        <w:t xml:space="preserve">hildren </w:t>
      </w:r>
      <w:r>
        <w:t xml:space="preserve">aged 5 and </w:t>
      </w:r>
      <w:r w:rsidRPr="008B1F00">
        <w:t xml:space="preserve">under </w:t>
      </w:r>
      <w:r>
        <w:t xml:space="preserve">in households with </w:t>
      </w:r>
      <w:r w:rsidRPr="008B1F00">
        <w:t xml:space="preserve">13 or more people have </w:t>
      </w:r>
      <w:r>
        <w:t xml:space="preserve">0.30 more </w:t>
      </w:r>
      <w:r w:rsidRPr="008B1F00">
        <w:t>sym</w:t>
      </w:r>
      <w:r>
        <w:t>p</w:t>
      </w:r>
      <w:r w:rsidRPr="008B1F00">
        <w:t>tom</w:t>
      </w:r>
      <w:r>
        <w:t>s (</w:t>
      </w:r>
      <w:r w:rsidRPr="008B1F00">
        <w:t>SE = .13, P &lt; .0</w:t>
      </w:r>
      <w:r>
        <w:t>1</w:t>
      </w:r>
      <w:r w:rsidRPr="008B1F00">
        <w:t>) if the</w:t>
      </w:r>
      <w:r>
        <w:t xml:space="preserve">y </w:t>
      </w:r>
      <w:r w:rsidRPr="008B1F00">
        <w:t>are in a treatment household than if</w:t>
      </w:r>
      <w:r>
        <w:t xml:space="preserve"> they are in a similarly large control household.  We do not want to make too much of this result, as the 3 household size * treatment indicators are jointly not significant (P &lt; .19).  </w:t>
      </w:r>
    </w:p>
    <w:bookmarkEnd w:id="16"/>
    <w:p w:rsidR="00B35F2F" w:rsidRDefault="00B35F2F" w:rsidP="00C84046">
      <w:r>
        <w:t xml:space="preserve">In robustness checks we controlled for </w:t>
      </w:r>
      <w:r w:rsidRPr="004E26CF">
        <w:t xml:space="preserve">whether the women enrolled in the program </w:t>
      </w:r>
      <w:r>
        <w:t xml:space="preserve">are </w:t>
      </w:r>
      <w:r w:rsidRPr="004E26CF">
        <w:t xml:space="preserve">part of a polygamous household, and a dummy variable for whether she is employed or not. </w:t>
      </w:r>
      <w:r>
        <w:t xml:space="preserve">We removed the endogenous cooking in an enclosed or semi-enclosed hut.  We ran </w:t>
      </w:r>
      <w:r w:rsidRPr="004E26CF">
        <w:t xml:space="preserve">the entire set of regression specifications </w:t>
      </w:r>
      <w:r>
        <w:t xml:space="preserve">individually </w:t>
      </w:r>
      <w:r w:rsidRPr="004E26CF">
        <w:t>for each of the four symptoms associated with cooking and for each of the</w:t>
      </w:r>
      <w:r w:rsidRPr="00AA4DF2">
        <w:t xml:space="preserve"> </w:t>
      </w:r>
      <w:r w:rsidRPr="004E26CF">
        <w:t xml:space="preserve">seven </w:t>
      </w:r>
      <w:r>
        <w:t>r</w:t>
      </w:r>
      <w:r w:rsidRPr="004E26CF">
        <w:t>espiratory symptoms</w:t>
      </w:r>
      <w:r>
        <w:t xml:space="preserve">.  Results were largely unchanged. </w:t>
      </w:r>
    </w:p>
    <w:p w:rsidR="00B35F2F" w:rsidRDefault="00B35F2F" w:rsidP="00C84046">
      <w:pPr>
        <w:pStyle w:val="Heading2"/>
      </w:pPr>
      <w:bookmarkStart w:id="17" w:name="_Toc267679970"/>
      <w:r>
        <w:t>Limitations</w:t>
      </w:r>
    </w:p>
    <w:p w:rsidR="00B35F2F" w:rsidRPr="003B0C98" w:rsidRDefault="00B35F2F" w:rsidP="00C84046">
      <w:r>
        <w:t xml:space="preserve">Our study has several limitations.  There was non-random attrition of a few percent of the sample and non-random missing data for a large share.  Our data collection was organized around the “household,” but in many compounds women rotate cooking duties across meals or days with their co-wives and other compound members.  We placed the carbon monoxide tubes only on woman intending to light a fire that day, but did not retain the count of women who were cooking with gas. We rely on self-reported use of wood and time spent collecting </w:t>
      </w:r>
      <w:r>
        <w:lastRenderedPageBreak/>
        <w:t xml:space="preserve">wood, both of which have substantial recall error.  Finally, the carbon monoxide tubes measured CO exposure during the middle of the day, when most cooks prepare lunch.  Thus, we missed any reduction in evening smoke inhalation among women who used the solar oven to pre-cook dinner. Although each of these issues limits our confidence in the precise estimates, we do not believe they substantially affect the overall results. </w:t>
      </w:r>
    </w:p>
    <w:bookmarkEnd w:id="17"/>
    <w:p w:rsidR="00B35F2F" w:rsidRDefault="00B35F2F" w:rsidP="00C84046">
      <w:pPr>
        <w:pStyle w:val="Heading1"/>
      </w:pPr>
      <w:r>
        <w:t>Discussion</w:t>
      </w:r>
    </w:p>
    <w:p w:rsidR="00B35F2F" w:rsidRDefault="00B35F2F" w:rsidP="00C84046">
      <w:pPr>
        <w:pStyle w:val="Heading2"/>
      </w:pPr>
      <w:bookmarkStart w:id="18" w:name="_Toc267679972"/>
      <w:r>
        <w:t xml:space="preserve">Caveats </w:t>
      </w:r>
      <w:bookmarkEnd w:id="18"/>
    </w:p>
    <w:p w:rsidR="00B35F2F" w:rsidRDefault="00B35F2F" w:rsidP="00C84046">
      <w:r>
        <w:t xml:space="preserve">Numerous issues arose in our data collection that caution against over-confidence in our precise results. Some issues are familiar to most randomized trials, while a few arose due to the complexities of fuel use, cooking, and eating in our study population. </w:t>
      </w:r>
    </w:p>
    <w:p w:rsidR="00B35F2F" w:rsidRDefault="00B35F2F" w:rsidP="00C84046">
      <w:pPr>
        <w:pStyle w:val="ListParagraph"/>
        <w:numPr>
          <w:ilvl w:val="0"/>
          <w:numId w:val="23"/>
        </w:numPr>
      </w:pPr>
      <w:r>
        <w:t xml:space="preserve">Randomization was supposed to be limited to one woman per compound.  In fact, many compounds had more than one participant.  </w:t>
      </w:r>
    </w:p>
    <w:p w:rsidR="00B35F2F" w:rsidRDefault="00B35F2F" w:rsidP="00C84046">
      <w:pPr>
        <w:pStyle w:val="ListParagraph"/>
        <w:numPr>
          <w:ilvl w:val="0"/>
          <w:numId w:val="23"/>
        </w:numPr>
      </w:pPr>
      <w:r>
        <w:t xml:space="preserve">There was non-random attrition of (fortunately only) a few percent of the sample.  </w:t>
      </w:r>
    </w:p>
    <w:p w:rsidR="00B35F2F" w:rsidRDefault="00B35F2F" w:rsidP="00C84046">
      <w:pPr>
        <w:pStyle w:val="ListParagraph"/>
        <w:numPr>
          <w:ilvl w:val="0"/>
          <w:numId w:val="23"/>
        </w:numPr>
      </w:pPr>
      <w:r>
        <w:t xml:space="preserve">There was non-random missing data of a more significant share of the sample.  </w:t>
      </w:r>
    </w:p>
    <w:p w:rsidR="00B35F2F" w:rsidRDefault="00B35F2F" w:rsidP="00C84046">
      <w:pPr>
        <w:pStyle w:val="ListParagraph"/>
        <w:numPr>
          <w:ilvl w:val="0"/>
          <w:numId w:val="23"/>
        </w:numPr>
      </w:pPr>
      <w:r>
        <w:t xml:space="preserve">Our data collection was organized around the “household,” but in many compounds women rotate cooking duties across meals or days with their co-wives and other compound members.  In addition, children and adults often move in complex patterns, using different stoves within and across compounds. </w:t>
      </w:r>
    </w:p>
    <w:p w:rsidR="00B35F2F" w:rsidRDefault="00B35F2F" w:rsidP="00C84046">
      <w:pPr>
        <w:pStyle w:val="ListParagraph"/>
        <w:numPr>
          <w:ilvl w:val="0"/>
          <w:numId w:val="23"/>
        </w:numPr>
      </w:pPr>
      <w:r>
        <w:t xml:space="preserve">We placed the carbon monoxide tubes only on woman intending to light a fire that day, but did not retain the count of women who were not lighting a fire. </w:t>
      </w:r>
    </w:p>
    <w:p w:rsidR="00B35F2F" w:rsidRDefault="00B35F2F" w:rsidP="00C84046">
      <w:pPr>
        <w:pStyle w:val="ListParagraph"/>
        <w:numPr>
          <w:ilvl w:val="0"/>
          <w:numId w:val="23"/>
        </w:numPr>
      </w:pPr>
      <w:r>
        <w:t xml:space="preserve">The carbon monoxide tubes measured CO exposure during the middle of the day, when most cooks prepare lunch.  Thus, we missed any reduction in evening smoke inhalation among women who used the solar oven to pre-cook dinner. </w:t>
      </w:r>
    </w:p>
    <w:p w:rsidR="00B35F2F" w:rsidRPr="003B0C98" w:rsidRDefault="00B35F2F" w:rsidP="00C84046">
      <w:r>
        <w:t xml:space="preserve">Each of these issues limits our confidence in the precise numbers we report.  At the same time, we believe each issue has only a small effect, so the measured results are close to what occurred. </w:t>
      </w:r>
    </w:p>
    <w:p w:rsidR="00B35F2F" w:rsidRPr="000109AA" w:rsidRDefault="00B35F2F" w:rsidP="00C84046">
      <w:pPr>
        <w:pStyle w:val="Heading1"/>
      </w:pPr>
      <w:r>
        <w:t>Conclusions</w:t>
      </w:r>
    </w:p>
    <w:p w:rsidR="00B35F2F" w:rsidRPr="001B4F24" w:rsidRDefault="00B35F2F" w:rsidP="00C84046">
      <w:r>
        <w:t>Cooks and their accompanying children are exposed to dangerous levels of emissions- 130% of the daily recommended level of CO- roughly equivalent to 1.5 packs of cigarettes a week.  Thus, it is not surprising that at the follow-up control women report an average of four of the 7 respiratory symptoms we asked about (</w:t>
      </w:r>
      <w:r w:rsidRPr="005670B4">
        <w:t>fever; sore throat; runny or stuffy nose; cough; wheezing; woke up with chest heaviness; coughed up mucus</w:t>
      </w:r>
      <w:r>
        <w:t xml:space="preserve">)—almost twice the rate they report for their husbands. </w:t>
      </w:r>
    </w:p>
    <w:p w:rsidR="00B35F2F" w:rsidRDefault="00B35F2F" w:rsidP="00C84046">
      <w:r>
        <w:t xml:space="preserve">Stove usage monitors measured solar oven usage on only 19% of days during the sixth month. Low usage is not surprising given nearly 80% of our households report cooking for more than six people.  </w:t>
      </w:r>
      <w:r w:rsidRPr="004E26CF">
        <w:t xml:space="preserve">Because the solar ovens are </w:t>
      </w:r>
      <w:r>
        <w:t xml:space="preserve">usually </w:t>
      </w:r>
      <w:r w:rsidRPr="004E26CF">
        <w:t xml:space="preserve">too small, </w:t>
      </w:r>
      <w:r>
        <w:t xml:space="preserve">all women we observed using a solar oven also had a fire lit. </w:t>
      </w:r>
    </w:p>
    <w:p w:rsidR="00B35F2F" w:rsidRPr="003E461B" w:rsidRDefault="00B35F2F" w:rsidP="00C84046">
      <w:pPr>
        <w:rPr>
          <w:lang w:eastAsia="en-US"/>
        </w:rPr>
      </w:pPr>
      <w:r>
        <w:rPr>
          <w:lang w:eastAsia="en-US"/>
        </w:rPr>
        <w:t>The</w:t>
      </w:r>
      <w:r w:rsidRPr="003E461B">
        <w:rPr>
          <w:lang w:eastAsia="en-US"/>
        </w:rPr>
        <w:t xml:space="preserve"> SUMs proved critical in measuring objective stove usage. Solar oven users at</w:t>
      </w:r>
      <w:r>
        <w:rPr>
          <w:lang w:eastAsia="en-US"/>
        </w:rPr>
        <w:t xml:space="preserve"> </w:t>
      </w:r>
      <w:r w:rsidRPr="003E461B">
        <w:rPr>
          <w:lang w:eastAsia="en-US"/>
        </w:rPr>
        <w:t>the six month follow-up repor</w:t>
      </w:r>
      <w:r>
        <w:rPr>
          <w:lang w:eastAsia="en-US"/>
        </w:rPr>
        <w:t>t using their solar oven 38%, about</w:t>
      </w:r>
      <w:r w:rsidRPr="003E461B">
        <w:rPr>
          <w:lang w:eastAsia="en-US"/>
        </w:rPr>
        <w:t xml:space="preserve"> double the SUM-measured</w:t>
      </w:r>
      <w:r>
        <w:rPr>
          <w:lang w:eastAsia="en-US"/>
        </w:rPr>
        <w:t xml:space="preserve"> usage rate of 19</w:t>
      </w:r>
      <w:r w:rsidRPr="003E461B">
        <w:rPr>
          <w:lang w:eastAsia="en-US"/>
        </w:rPr>
        <w:t>%. When we observed stove usage at the six month follow-up</w:t>
      </w:r>
      <w:r>
        <w:rPr>
          <w:lang w:eastAsia="en-US"/>
        </w:rPr>
        <w:t>, women used their stove</w:t>
      </w:r>
      <w:r w:rsidRPr="003E461B">
        <w:rPr>
          <w:lang w:eastAsia="en-US"/>
        </w:rPr>
        <w:t xml:space="preserve"> more than 3 times the actual usage rate. Given the wide discrepanc</w:t>
      </w:r>
      <w:r>
        <w:rPr>
          <w:lang w:eastAsia="en-US"/>
        </w:rPr>
        <w:t xml:space="preserve">ies between </w:t>
      </w:r>
      <w:r w:rsidRPr="003E461B">
        <w:rPr>
          <w:lang w:eastAsia="en-US"/>
        </w:rPr>
        <w:t>self</w:t>
      </w:r>
      <w:r>
        <w:rPr>
          <w:lang w:eastAsia="en-US"/>
        </w:rPr>
        <w:t xml:space="preserve"> </w:t>
      </w:r>
      <w:r w:rsidRPr="003E461B">
        <w:rPr>
          <w:lang w:eastAsia="en-US"/>
        </w:rPr>
        <w:t>reporting</w:t>
      </w:r>
      <w:r>
        <w:rPr>
          <w:lang w:eastAsia="en-US"/>
        </w:rPr>
        <w:t xml:space="preserve"> </w:t>
      </w:r>
      <w:r w:rsidRPr="003E461B">
        <w:rPr>
          <w:lang w:eastAsia="en-US"/>
        </w:rPr>
        <w:t>and observed actual usage, we see a clear role for SUM‘s in future studies.</w:t>
      </w:r>
    </w:p>
    <w:p w:rsidR="00D7605E" w:rsidRDefault="00B35F2F" w:rsidP="00A22E8C">
      <w:r>
        <w:t xml:space="preserve">On average there was no overall detectable decline in wood usage for treatment homes.  At the same time, there was a small decline in wood usage for medium-sized (7-12 people) </w:t>
      </w:r>
      <w:r>
        <w:lastRenderedPageBreak/>
        <w:t>households in the treatment group, and a similar drop for adult age equivalent small size households equivalent to 6 adults or less.  Consistent with low usage of the solar oven and continued usage of traditional stoves, there was no detectable effect of solar ovens on time spent collecting fuel or on</w:t>
      </w:r>
      <w:r w:rsidRPr="00607BB1">
        <w:t xml:space="preserve"> time spent next to the cook fire.</w:t>
      </w:r>
      <w:r>
        <w:t xml:space="preserve">  </w:t>
      </w:r>
      <w:r w:rsidRPr="00607BB1">
        <w:t xml:space="preserve">There is no evidence </w:t>
      </w:r>
      <w:r>
        <w:t xml:space="preserve">solar ovens reduce </w:t>
      </w:r>
      <w:r w:rsidRPr="00607BB1">
        <w:t xml:space="preserve">exposure to carbon monoxide or </w:t>
      </w:r>
      <w:r>
        <w:t xml:space="preserve">self-reported respiratory </w:t>
      </w:r>
      <w:r w:rsidRPr="00607BB1">
        <w:t>symptoms</w:t>
      </w:r>
      <w:r>
        <w:t xml:space="preserve"> such as coughs and sore throats</w:t>
      </w:r>
      <w:r w:rsidRPr="00607BB1">
        <w:t xml:space="preserve">. </w:t>
      </w:r>
      <w:bookmarkEnd w:id="1"/>
    </w:p>
    <w:p w:rsidR="00B35F2F" w:rsidRDefault="00B35F2F" w:rsidP="00A22E8C">
      <w:pPr>
        <w:rPr>
          <w:b/>
          <w:bCs/>
          <w:kern w:val="32"/>
          <w:sz w:val="28"/>
          <w:szCs w:val="28"/>
        </w:rPr>
      </w:pPr>
      <w:r>
        <w:br w:type="page"/>
      </w:r>
    </w:p>
    <w:p w:rsidR="00B35F2F" w:rsidRDefault="00B35F2F" w:rsidP="0030259F">
      <w:pPr>
        <w:pStyle w:val="Heading1"/>
      </w:pPr>
      <w:r>
        <w:t>References</w:t>
      </w:r>
      <w:bookmarkEnd w:id="0"/>
    </w:p>
    <w:p w:rsidR="00B35F2F" w:rsidRPr="000109AA" w:rsidRDefault="00B35F2F" w:rsidP="000109AA">
      <w:pPr>
        <w:spacing w:before="0"/>
        <w:ind w:left="432" w:hanging="432"/>
        <w:rPr>
          <w:sz w:val="20"/>
          <w:szCs w:val="20"/>
        </w:rPr>
      </w:pPr>
      <w:r>
        <w:rPr>
          <w:sz w:val="20"/>
          <w:szCs w:val="20"/>
        </w:rPr>
        <w:t>Albalak</w:t>
      </w:r>
      <w:r w:rsidRPr="000109AA">
        <w:rPr>
          <w:sz w:val="20"/>
          <w:szCs w:val="20"/>
        </w:rPr>
        <w:t xml:space="preserve"> R</w:t>
      </w:r>
      <w:r>
        <w:rPr>
          <w:sz w:val="20"/>
          <w:szCs w:val="20"/>
        </w:rPr>
        <w:t>., Nigel</w:t>
      </w:r>
      <w:r w:rsidRPr="000109AA">
        <w:rPr>
          <w:sz w:val="20"/>
          <w:szCs w:val="20"/>
        </w:rPr>
        <w:t xml:space="preserve"> B</w:t>
      </w:r>
      <w:r>
        <w:rPr>
          <w:sz w:val="20"/>
          <w:szCs w:val="20"/>
        </w:rPr>
        <w:t xml:space="preserve">., </w:t>
      </w:r>
      <w:r w:rsidRPr="000109AA">
        <w:rPr>
          <w:sz w:val="20"/>
          <w:szCs w:val="20"/>
        </w:rPr>
        <w:t>McCracken</w:t>
      </w:r>
      <w:r>
        <w:rPr>
          <w:sz w:val="20"/>
          <w:szCs w:val="20"/>
        </w:rPr>
        <w:t xml:space="preserve"> J.</w:t>
      </w:r>
      <w:r w:rsidRPr="000109AA">
        <w:rPr>
          <w:sz w:val="20"/>
          <w:szCs w:val="20"/>
        </w:rPr>
        <w:t>, Smith</w:t>
      </w:r>
      <w:r>
        <w:rPr>
          <w:sz w:val="20"/>
          <w:szCs w:val="20"/>
        </w:rPr>
        <w:t xml:space="preserve"> K.</w:t>
      </w:r>
      <w:r w:rsidRPr="000109AA">
        <w:rPr>
          <w:sz w:val="20"/>
          <w:szCs w:val="20"/>
        </w:rPr>
        <w:t>, De Gallardo</w:t>
      </w:r>
      <w:r>
        <w:rPr>
          <w:sz w:val="20"/>
          <w:szCs w:val="20"/>
        </w:rPr>
        <w:t xml:space="preserve"> T</w:t>
      </w:r>
      <w:r w:rsidRPr="000109AA">
        <w:rPr>
          <w:sz w:val="20"/>
          <w:szCs w:val="20"/>
        </w:rPr>
        <w:t xml:space="preserve">. 2001. “Indoor respirable particulate matter concentrations from an open fire, improved cookstove, and LPG/open fire combination in a rural Guatemalan community.” </w:t>
      </w:r>
      <w:r w:rsidRPr="000109AA">
        <w:rPr>
          <w:i/>
          <w:sz w:val="20"/>
          <w:szCs w:val="20"/>
        </w:rPr>
        <w:t>Environmental Science and Technology,</w:t>
      </w:r>
      <w:r w:rsidRPr="000109AA">
        <w:rPr>
          <w:sz w:val="20"/>
          <w:szCs w:val="20"/>
        </w:rPr>
        <w:t xml:space="preserve"> 35:2650-55.</w:t>
      </w:r>
    </w:p>
    <w:p w:rsidR="00B35F2F" w:rsidRPr="000109AA" w:rsidRDefault="00B35F2F" w:rsidP="008862AA">
      <w:pPr>
        <w:spacing w:before="0"/>
        <w:ind w:left="432" w:hanging="432"/>
        <w:rPr>
          <w:sz w:val="20"/>
          <w:szCs w:val="20"/>
        </w:rPr>
      </w:pPr>
      <w:r w:rsidRPr="00C84046">
        <w:rPr>
          <w:sz w:val="20"/>
          <w:szCs w:val="20"/>
        </w:rPr>
        <w:t xml:space="preserve">Bailis R., Ezzati M., Kammen D. 2005. </w:t>
      </w:r>
      <w:r w:rsidRPr="000109AA">
        <w:rPr>
          <w:sz w:val="20"/>
          <w:szCs w:val="20"/>
        </w:rPr>
        <w:t xml:space="preserve">“Mortality and Greenhouse Gas Impacts of Biomass and Petroleum Energy Futures in Africa.” </w:t>
      </w:r>
      <w:r w:rsidRPr="000109AA">
        <w:rPr>
          <w:i/>
          <w:iCs/>
          <w:sz w:val="20"/>
          <w:szCs w:val="20"/>
        </w:rPr>
        <w:t>Science</w:t>
      </w:r>
      <w:r w:rsidRPr="000109AA">
        <w:rPr>
          <w:sz w:val="20"/>
          <w:szCs w:val="20"/>
        </w:rPr>
        <w:t xml:space="preserve">, </w:t>
      </w:r>
      <w:r w:rsidRPr="000109AA">
        <w:rPr>
          <w:bCs/>
          <w:sz w:val="20"/>
          <w:szCs w:val="20"/>
        </w:rPr>
        <w:t>308</w:t>
      </w:r>
      <w:r>
        <w:rPr>
          <w:bCs/>
          <w:sz w:val="20"/>
          <w:szCs w:val="20"/>
        </w:rPr>
        <w:t xml:space="preserve"> </w:t>
      </w:r>
      <w:r w:rsidRPr="000109AA">
        <w:rPr>
          <w:sz w:val="20"/>
          <w:szCs w:val="20"/>
        </w:rPr>
        <w:t>(5718): 98-103.</w:t>
      </w:r>
    </w:p>
    <w:p w:rsidR="00B35F2F" w:rsidRPr="000109AA" w:rsidRDefault="00B35F2F" w:rsidP="008862AA">
      <w:pPr>
        <w:spacing w:before="0"/>
        <w:ind w:left="432" w:hanging="432"/>
        <w:rPr>
          <w:sz w:val="20"/>
          <w:szCs w:val="20"/>
        </w:rPr>
      </w:pPr>
      <w:r>
        <w:rPr>
          <w:sz w:val="20"/>
          <w:szCs w:val="20"/>
        </w:rPr>
        <w:t xml:space="preserve">Beltramo T., </w:t>
      </w:r>
      <w:r w:rsidRPr="000109AA">
        <w:rPr>
          <w:sz w:val="20"/>
          <w:szCs w:val="20"/>
        </w:rPr>
        <w:t>Levine</w:t>
      </w:r>
      <w:r>
        <w:rPr>
          <w:sz w:val="20"/>
          <w:szCs w:val="20"/>
        </w:rPr>
        <w:t>, D</w:t>
      </w:r>
      <w:r w:rsidRPr="000109AA">
        <w:rPr>
          <w:sz w:val="20"/>
          <w:szCs w:val="20"/>
        </w:rPr>
        <w:t xml:space="preserve">. 2010. “Peer Effects and Usage of the Solar Oven- Evidence from Rural Senegal.” Unpublished. </w:t>
      </w:r>
    </w:p>
    <w:p w:rsidR="00B35F2F" w:rsidRPr="000109AA" w:rsidRDefault="00B35F2F" w:rsidP="008862AA">
      <w:pPr>
        <w:spacing w:before="0"/>
        <w:ind w:left="432" w:hanging="432"/>
        <w:rPr>
          <w:sz w:val="20"/>
          <w:szCs w:val="20"/>
        </w:rPr>
      </w:pPr>
      <w:r w:rsidRPr="000109AA">
        <w:rPr>
          <w:sz w:val="20"/>
          <w:szCs w:val="20"/>
        </w:rPr>
        <w:t>Blackden</w:t>
      </w:r>
      <w:r>
        <w:rPr>
          <w:sz w:val="20"/>
          <w:szCs w:val="20"/>
        </w:rPr>
        <w:t xml:space="preserve"> M.</w:t>
      </w:r>
      <w:r w:rsidRPr="000109AA">
        <w:rPr>
          <w:sz w:val="20"/>
          <w:szCs w:val="20"/>
        </w:rPr>
        <w:t>, Wodon</w:t>
      </w:r>
      <w:r>
        <w:rPr>
          <w:sz w:val="20"/>
          <w:szCs w:val="20"/>
        </w:rPr>
        <w:t xml:space="preserve"> Q</w:t>
      </w:r>
      <w:r w:rsidRPr="000109AA">
        <w:rPr>
          <w:sz w:val="20"/>
          <w:szCs w:val="20"/>
        </w:rPr>
        <w:t xml:space="preserve">. 2006. </w:t>
      </w:r>
      <w:r w:rsidRPr="000109AA">
        <w:rPr>
          <w:i/>
          <w:sz w:val="20"/>
          <w:szCs w:val="20"/>
        </w:rPr>
        <w:t>Gender, Time Use, and Poverty in Sub-Saharan Africa.</w:t>
      </w:r>
      <w:r w:rsidRPr="000109AA">
        <w:rPr>
          <w:sz w:val="20"/>
          <w:szCs w:val="20"/>
        </w:rPr>
        <w:t xml:space="preserve"> World Bank Working Paper No. 73. </w:t>
      </w:r>
    </w:p>
    <w:p w:rsidR="00B35F2F" w:rsidRPr="000109AA" w:rsidRDefault="00B35F2F" w:rsidP="008862AA">
      <w:pPr>
        <w:spacing w:before="0"/>
        <w:ind w:left="432" w:hanging="432"/>
        <w:rPr>
          <w:sz w:val="20"/>
          <w:szCs w:val="20"/>
        </w:rPr>
      </w:pPr>
      <w:r w:rsidRPr="000109AA">
        <w:rPr>
          <w:sz w:val="20"/>
          <w:szCs w:val="20"/>
        </w:rPr>
        <w:t>Nigel</w:t>
      </w:r>
      <w:r>
        <w:rPr>
          <w:sz w:val="20"/>
          <w:szCs w:val="20"/>
        </w:rPr>
        <w:t xml:space="preserve"> B.</w:t>
      </w:r>
      <w:r w:rsidRPr="000109AA">
        <w:rPr>
          <w:sz w:val="20"/>
          <w:szCs w:val="20"/>
        </w:rPr>
        <w:t>, Rehfuess</w:t>
      </w:r>
      <w:r>
        <w:rPr>
          <w:sz w:val="20"/>
          <w:szCs w:val="20"/>
        </w:rPr>
        <w:t xml:space="preserve"> E.</w:t>
      </w:r>
      <w:r w:rsidRPr="000109AA">
        <w:rPr>
          <w:sz w:val="20"/>
          <w:szCs w:val="20"/>
        </w:rPr>
        <w:t>, Mehta</w:t>
      </w:r>
      <w:r>
        <w:rPr>
          <w:sz w:val="20"/>
          <w:szCs w:val="20"/>
        </w:rPr>
        <w:t xml:space="preserve"> S.</w:t>
      </w:r>
      <w:r w:rsidRPr="000109AA">
        <w:rPr>
          <w:sz w:val="20"/>
          <w:szCs w:val="20"/>
        </w:rPr>
        <w:t>, Hutton</w:t>
      </w:r>
      <w:r>
        <w:rPr>
          <w:sz w:val="20"/>
          <w:szCs w:val="20"/>
        </w:rPr>
        <w:t xml:space="preserve"> G., </w:t>
      </w:r>
      <w:r w:rsidRPr="000109AA">
        <w:rPr>
          <w:sz w:val="20"/>
          <w:szCs w:val="20"/>
        </w:rPr>
        <w:t>Smith</w:t>
      </w:r>
      <w:r>
        <w:rPr>
          <w:sz w:val="20"/>
          <w:szCs w:val="20"/>
        </w:rPr>
        <w:t xml:space="preserve"> K</w:t>
      </w:r>
      <w:r w:rsidRPr="000109AA">
        <w:rPr>
          <w:sz w:val="20"/>
          <w:szCs w:val="20"/>
        </w:rPr>
        <w:t>. 2006. “Indoor Air Pollution.” In</w:t>
      </w:r>
      <w:r w:rsidRPr="000109AA">
        <w:rPr>
          <w:i/>
          <w:sz w:val="20"/>
          <w:szCs w:val="20"/>
        </w:rPr>
        <w:t xml:space="preserve"> Disease Control Priorities in Developing Countries, </w:t>
      </w:r>
      <w:r w:rsidRPr="000109AA">
        <w:rPr>
          <w:sz w:val="20"/>
          <w:szCs w:val="20"/>
        </w:rPr>
        <w:t>2</w:t>
      </w:r>
      <w:r w:rsidRPr="000109AA">
        <w:rPr>
          <w:sz w:val="20"/>
          <w:szCs w:val="20"/>
          <w:vertAlign w:val="superscript"/>
        </w:rPr>
        <w:t>nd</w:t>
      </w:r>
      <w:r w:rsidRPr="000109AA">
        <w:rPr>
          <w:sz w:val="20"/>
          <w:szCs w:val="20"/>
        </w:rPr>
        <w:t xml:space="preserve"> ed., ed. D.T. Jamison, J.G. Breman, A.R. Musgrove, 591-603. New York: Oxford University Press.</w:t>
      </w:r>
    </w:p>
    <w:p w:rsidR="00B35F2F" w:rsidRPr="000109AA" w:rsidRDefault="00B35F2F" w:rsidP="008862AA">
      <w:pPr>
        <w:spacing w:before="0"/>
        <w:ind w:left="432" w:hanging="432"/>
        <w:rPr>
          <w:sz w:val="20"/>
          <w:szCs w:val="20"/>
        </w:rPr>
      </w:pPr>
      <w:r w:rsidRPr="000109AA">
        <w:rPr>
          <w:sz w:val="20"/>
          <w:szCs w:val="20"/>
        </w:rPr>
        <w:t>Clark</w:t>
      </w:r>
      <w:r>
        <w:rPr>
          <w:sz w:val="20"/>
          <w:szCs w:val="20"/>
        </w:rPr>
        <w:t xml:space="preserve"> M.,</w:t>
      </w:r>
      <w:r w:rsidRPr="000109AA">
        <w:rPr>
          <w:sz w:val="20"/>
          <w:szCs w:val="20"/>
        </w:rPr>
        <w:t xml:space="preserve"> Paulsen</w:t>
      </w:r>
      <w:r>
        <w:rPr>
          <w:sz w:val="20"/>
          <w:szCs w:val="20"/>
        </w:rPr>
        <w:t xml:space="preserve"> M.</w:t>
      </w:r>
      <w:r w:rsidRPr="000109AA">
        <w:rPr>
          <w:sz w:val="20"/>
          <w:szCs w:val="20"/>
        </w:rPr>
        <w:t>, Smith</w:t>
      </w:r>
      <w:r>
        <w:rPr>
          <w:sz w:val="20"/>
          <w:szCs w:val="20"/>
        </w:rPr>
        <w:t xml:space="preserve"> K.</w:t>
      </w:r>
      <w:r w:rsidRPr="000109AA">
        <w:rPr>
          <w:sz w:val="20"/>
          <w:szCs w:val="20"/>
        </w:rPr>
        <w:t>, Canuz</w:t>
      </w:r>
      <w:r>
        <w:rPr>
          <w:sz w:val="20"/>
          <w:szCs w:val="20"/>
        </w:rPr>
        <w:t xml:space="preserve"> E.</w:t>
      </w:r>
      <w:r w:rsidRPr="000109AA">
        <w:rPr>
          <w:sz w:val="20"/>
          <w:szCs w:val="20"/>
        </w:rPr>
        <w:t>, Simpson</w:t>
      </w:r>
      <w:r>
        <w:rPr>
          <w:sz w:val="20"/>
          <w:szCs w:val="20"/>
        </w:rPr>
        <w:t>, C</w:t>
      </w:r>
      <w:r w:rsidRPr="000109AA">
        <w:rPr>
          <w:sz w:val="20"/>
          <w:szCs w:val="20"/>
        </w:rPr>
        <w:t xml:space="preserve">. 2007. “Urinary Methoxyphenol Biomarkers and Woodsmoke Exposure: Comparisons in Rural Guatemala with Personal CO and Kitchen CO, Levoglucosan and PM2.5.” </w:t>
      </w:r>
      <w:r w:rsidRPr="000109AA">
        <w:rPr>
          <w:i/>
          <w:sz w:val="20"/>
          <w:szCs w:val="20"/>
        </w:rPr>
        <w:t>Environmental Science Technology</w:t>
      </w:r>
      <w:r w:rsidRPr="000109AA">
        <w:rPr>
          <w:sz w:val="20"/>
          <w:szCs w:val="20"/>
        </w:rPr>
        <w:t xml:space="preserve"> 41: 3481-3487.</w:t>
      </w:r>
    </w:p>
    <w:p w:rsidR="00B35F2F" w:rsidRPr="000109AA" w:rsidRDefault="00B35F2F" w:rsidP="000109AA">
      <w:pPr>
        <w:spacing w:before="0"/>
        <w:ind w:left="432" w:hanging="432"/>
        <w:rPr>
          <w:sz w:val="20"/>
          <w:szCs w:val="20"/>
        </w:rPr>
      </w:pPr>
      <w:r>
        <w:rPr>
          <w:sz w:val="20"/>
          <w:szCs w:val="20"/>
        </w:rPr>
        <w:t xml:space="preserve">Dasgupta S. </w:t>
      </w:r>
      <w:r w:rsidRPr="000109AA">
        <w:rPr>
          <w:sz w:val="20"/>
          <w:szCs w:val="20"/>
        </w:rPr>
        <w:t>Huq</w:t>
      </w:r>
      <w:r>
        <w:rPr>
          <w:sz w:val="20"/>
          <w:szCs w:val="20"/>
        </w:rPr>
        <w:t xml:space="preserve"> M.</w:t>
      </w:r>
      <w:r w:rsidRPr="000109AA">
        <w:rPr>
          <w:sz w:val="20"/>
          <w:szCs w:val="20"/>
        </w:rPr>
        <w:t>, Khaliquzzaman</w:t>
      </w:r>
      <w:r>
        <w:rPr>
          <w:sz w:val="20"/>
          <w:szCs w:val="20"/>
        </w:rPr>
        <w:t xml:space="preserve"> M.</w:t>
      </w:r>
      <w:r w:rsidRPr="000109AA">
        <w:rPr>
          <w:sz w:val="20"/>
          <w:szCs w:val="20"/>
        </w:rPr>
        <w:t>, Pandey</w:t>
      </w:r>
      <w:r>
        <w:rPr>
          <w:sz w:val="20"/>
          <w:szCs w:val="20"/>
        </w:rPr>
        <w:t xml:space="preserve"> K.</w:t>
      </w:r>
      <w:r w:rsidRPr="000109AA">
        <w:rPr>
          <w:sz w:val="20"/>
          <w:szCs w:val="20"/>
        </w:rPr>
        <w:t>, and Wheeler</w:t>
      </w:r>
      <w:r>
        <w:rPr>
          <w:sz w:val="20"/>
          <w:szCs w:val="20"/>
        </w:rPr>
        <w:t xml:space="preserve"> D</w:t>
      </w:r>
      <w:r w:rsidRPr="000109AA">
        <w:rPr>
          <w:sz w:val="20"/>
          <w:szCs w:val="20"/>
        </w:rPr>
        <w:t>. 2004a. “Indoor air quality for poor families: new evidence.” World Bank Policy Research Working Paper 3393.</w:t>
      </w:r>
    </w:p>
    <w:p w:rsidR="00B35F2F" w:rsidRPr="000109AA" w:rsidRDefault="00B35F2F" w:rsidP="000109AA">
      <w:pPr>
        <w:spacing w:before="0"/>
        <w:ind w:left="432" w:hanging="432"/>
        <w:rPr>
          <w:sz w:val="20"/>
          <w:szCs w:val="20"/>
        </w:rPr>
      </w:pPr>
      <w:r w:rsidRPr="000109AA">
        <w:rPr>
          <w:sz w:val="20"/>
          <w:szCs w:val="20"/>
        </w:rPr>
        <w:t>Dasgupta S</w:t>
      </w:r>
      <w:r>
        <w:rPr>
          <w:sz w:val="20"/>
          <w:szCs w:val="20"/>
        </w:rPr>
        <w:t>.</w:t>
      </w:r>
      <w:r w:rsidRPr="000109AA">
        <w:rPr>
          <w:sz w:val="20"/>
          <w:szCs w:val="20"/>
        </w:rPr>
        <w:t>, Huq</w:t>
      </w:r>
      <w:r>
        <w:rPr>
          <w:sz w:val="20"/>
          <w:szCs w:val="20"/>
        </w:rPr>
        <w:t xml:space="preserve"> M.</w:t>
      </w:r>
      <w:r w:rsidRPr="000109AA">
        <w:rPr>
          <w:sz w:val="20"/>
          <w:szCs w:val="20"/>
        </w:rPr>
        <w:t>, Khaliquzzaman</w:t>
      </w:r>
      <w:r>
        <w:rPr>
          <w:sz w:val="20"/>
          <w:szCs w:val="20"/>
        </w:rPr>
        <w:t xml:space="preserve"> M.</w:t>
      </w:r>
      <w:r w:rsidRPr="000109AA">
        <w:rPr>
          <w:sz w:val="20"/>
          <w:szCs w:val="20"/>
        </w:rPr>
        <w:t>, Pandey</w:t>
      </w:r>
      <w:r>
        <w:rPr>
          <w:sz w:val="20"/>
          <w:szCs w:val="20"/>
        </w:rPr>
        <w:t xml:space="preserve"> K.</w:t>
      </w:r>
      <w:r w:rsidRPr="000109AA">
        <w:rPr>
          <w:sz w:val="20"/>
          <w:szCs w:val="20"/>
        </w:rPr>
        <w:t>, and Wheeler</w:t>
      </w:r>
      <w:r>
        <w:rPr>
          <w:sz w:val="20"/>
          <w:szCs w:val="20"/>
        </w:rPr>
        <w:t xml:space="preserve"> D</w:t>
      </w:r>
      <w:r w:rsidRPr="000109AA">
        <w:rPr>
          <w:sz w:val="20"/>
          <w:szCs w:val="20"/>
        </w:rPr>
        <w:t>. (2004b). “Who suffers from indoor air pollution? Evidence from Bangladesh.” World Bank Policy Research Paper 3428.</w:t>
      </w:r>
    </w:p>
    <w:p w:rsidR="00B35F2F" w:rsidRPr="000109AA" w:rsidRDefault="00B35F2F" w:rsidP="008862AA">
      <w:pPr>
        <w:spacing w:before="0"/>
        <w:ind w:left="432" w:hanging="432"/>
        <w:rPr>
          <w:sz w:val="20"/>
          <w:szCs w:val="20"/>
        </w:rPr>
      </w:pPr>
      <w:r w:rsidRPr="000109AA">
        <w:rPr>
          <w:sz w:val="20"/>
          <w:szCs w:val="20"/>
        </w:rPr>
        <w:t>Dherani</w:t>
      </w:r>
      <w:r>
        <w:rPr>
          <w:sz w:val="20"/>
          <w:szCs w:val="20"/>
        </w:rPr>
        <w:t xml:space="preserve"> M.</w:t>
      </w:r>
      <w:r w:rsidRPr="000109AA">
        <w:rPr>
          <w:sz w:val="20"/>
          <w:szCs w:val="20"/>
        </w:rPr>
        <w:t>, Pope</w:t>
      </w:r>
      <w:r>
        <w:rPr>
          <w:sz w:val="20"/>
          <w:szCs w:val="20"/>
        </w:rPr>
        <w:t xml:space="preserve"> D.</w:t>
      </w:r>
      <w:r w:rsidRPr="000109AA">
        <w:rPr>
          <w:sz w:val="20"/>
          <w:szCs w:val="20"/>
        </w:rPr>
        <w:t>, Mascarenhas</w:t>
      </w:r>
      <w:r>
        <w:rPr>
          <w:sz w:val="20"/>
          <w:szCs w:val="20"/>
        </w:rPr>
        <w:t xml:space="preserve"> M.</w:t>
      </w:r>
      <w:r w:rsidRPr="000109AA">
        <w:rPr>
          <w:sz w:val="20"/>
          <w:szCs w:val="20"/>
        </w:rPr>
        <w:t>, Smith</w:t>
      </w:r>
      <w:r>
        <w:rPr>
          <w:sz w:val="20"/>
          <w:szCs w:val="20"/>
        </w:rPr>
        <w:t xml:space="preserve"> K.</w:t>
      </w:r>
      <w:r w:rsidRPr="000109AA">
        <w:rPr>
          <w:sz w:val="20"/>
          <w:szCs w:val="20"/>
        </w:rPr>
        <w:t>, Weber</w:t>
      </w:r>
      <w:r>
        <w:rPr>
          <w:sz w:val="20"/>
          <w:szCs w:val="20"/>
        </w:rPr>
        <w:t xml:space="preserve"> M.</w:t>
      </w:r>
      <w:r w:rsidRPr="000109AA">
        <w:rPr>
          <w:sz w:val="20"/>
          <w:szCs w:val="20"/>
        </w:rPr>
        <w:t>, Bruce</w:t>
      </w:r>
      <w:r>
        <w:rPr>
          <w:sz w:val="20"/>
          <w:szCs w:val="20"/>
        </w:rPr>
        <w:t xml:space="preserve"> N</w:t>
      </w:r>
      <w:r w:rsidRPr="000109AA">
        <w:rPr>
          <w:sz w:val="20"/>
          <w:szCs w:val="20"/>
        </w:rPr>
        <w:t>. 2008. “Indoor air pollution from unprocessed solid fuel use and pneumonia risk in children aged under five years: a systematic review and meta-analysis.” </w:t>
      </w:r>
      <w:r w:rsidRPr="000109AA">
        <w:rPr>
          <w:i/>
          <w:sz w:val="20"/>
          <w:szCs w:val="20"/>
        </w:rPr>
        <w:t>Bulletin of the World Health Organization</w:t>
      </w:r>
      <w:r w:rsidRPr="000109AA">
        <w:rPr>
          <w:sz w:val="20"/>
          <w:szCs w:val="20"/>
        </w:rPr>
        <w:t xml:space="preserve"> 86:390–398. </w:t>
      </w:r>
    </w:p>
    <w:p w:rsidR="00B35F2F" w:rsidRPr="000109AA" w:rsidRDefault="00B35F2F" w:rsidP="008862AA">
      <w:pPr>
        <w:spacing w:before="0"/>
        <w:ind w:left="432" w:hanging="432"/>
        <w:rPr>
          <w:sz w:val="20"/>
          <w:szCs w:val="20"/>
        </w:rPr>
      </w:pPr>
      <w:r w:rsidRPr="000109AA">
        <w:rPr>
          <w:sz w:val="20"/>
          <w:szCs w:val="20"/>
        </w:rPr>
        <w:t>Diaz</w:t>
      </w:r>
      <w:r>
        <w:rPr>
          <w:sz w:val="20"/>
          <w:szCs w:val="20"/>
        </w:rPr>
        <w:t xml:space="preserve"> E.</w:t>
      </w:r>
      <w:r w:rsidRPr="000109AA">
        <w:rPr>
          <w:sz w:val="20"/>
          <w:szCs w:val="20"/>
        </w:rPr>
        <w:t>, Smith-Siversten</w:t>
      </w:r>
      <w:r>
        <w:rPr>
          <w:sz w:val="20"/>
          <w:szCs w:val="20"/>
        </w:rPr>
        <w:t xml:space="preserve"> T.</w:t>
      </w:r>
      <w:r w:rsidRPr="000109AA">
        <w:rPr>
          <w:sz w:val="20"/>
          <w:szCs w:val="20"/>
        </w:rPr>
        <w:t>, Pope</w:t>
      </w:r>
      <w:r>
        <w:rPr>
          <w:sz w:val="20"/>
          <w:szCs w:val="20"/>
        </w:rPr>
        <w:t xml:space="preserve"> D.</w:t>
      </w:r>
      <w:r w:rsidRPr="000109AA">
        <w:rPr>
          <w:sz w:val="20"/>
          <w:szCs w:val="20"/>
        </w:rPr>
        <w:t>, Lie</w:t>
      </w:r>
      <w:r>
        <w:rPr>
          <w:sz w:val="20"/>
          <w:szCs w:val="20"/>
        </w:rPr>
        <w:t xml:space="preserve"> R.</w:t>
      </w:r>
      <w:r w:rsidRPr="000109AA">
        <w:rPr>
          <w:sz w:val="20"/>
          <w:szCs w:val="20"/>
        </w:rPr>
        <w:t>, Diaz</w:t>
      </w:r>
      <w:r>
        <w:rPr>
          <w:sz w:val="20"/>
          <w:szCs w:val="20"/>
        </w:rPr>
        <w:t xml:space="preserve"> A.</w:t>
      </w:r>
      <w:r w:rsidRPr="000109AA">
        <w:rPr>
          <w:sz w:val="20"/>
          <w:szCs w:val="20"/>
        </w:rPr>
        <w:t>, McCracken</w:t>
      </w:r>
      <w:r>
        <w:rPr>
          <w:sz w:val="20"/>
          <w:szCs w:val="20"/>
        </w:rPr>
        <w:t xml:space="preserve"> J.</w:t>
      </w:r>
      <w:r w:rsidRPr="000109AA">
        <w:rPr>
          <w:sz w:val="20"/>
          <w:szCs w:val="20"/>
        </w:rPr>
        <w:t>, Arana</w:t>
      </w:r>
      <w:r>
        <w:rPr>
          <w:sz w:val="20"/>
          <w:szCs w:val="20"/>
        </w:rPr>
        <w:t xml:space="preserve"> B.</w:t>
      </w:r>
      <w:r w:rsidRPr="000109AA">
        <w:rPr>
          <w:sz w:val="20"/>
          <w:szCs w:val="20"/>
        </w:rPr>
        <w:t>, Smith</w:t>
      </w:r>
      <w:r>
        <w:rPr>
          <w:sz w:val="20"/>
          <w:szCs w:val="20"/>
        </w:rPr>
        <w:t xml:space="preserve"> K., </w:t>
      </w:r>
      <w:r w:rsidRPr="000109AA">
        <w:rPr>
          <w:sz w:val="20"/>
          <w:szCs w:val="20"/>
        </w:rPr>
        <w:t>Bruce</w:t>
      </w:r>
      <w:r>
        <w:rPr>
          <w:sz w:val="20"/>
          <w:szCs w:val="20"/>
        </w:rPr>
        <w:t xml:space="preserve"> N</w:t>
      </w:r>
      <w:r w:rsidRPr="000109AA">
        <w:rPr>
          <w:sz w:val="20"/>
          <w:szCs w:val="20"/>
        </w:rPr>
        <w:t xml:space="preserve">. 2007. “Eye discomfort, headache and back pain among Mayan Guatemalan women taking part in a randomized stove intervention trial.” </w:t>
      </w:r>
      <w:r w:rsidRPr="000109AA">
        <w:rPr>
          <w:i/>
          <w:sz w:val="20"/>
          <w:szCs w:val="20"/>
        </w:rPr>
        <w:t>J. Epidemiology Community</w:t>
      </w:r>
      <w:r w:rsidRPr="000109AA">
        <w:rPr>
          <w:sz w:val="20"/>
          <w:szCs w:val="20"/>
        </w:rPr>
        <w:t xml:space="preserve"> </w:t>
      </w:r>
      <w:r w:rsidRPr="000109AA">
        <w:rPr>
          <w:i/>
          <w:sz w:val="20"/>
          <w:szCs w:val="20"/>
        </w:rPr>
        <w:t>Health,</w:t>
      </w:r>
      <w:r w:rsidRPr="000109AA">
        <w:rPr>
          <w:sz w:val="20"/>
          <w:szCs w:val="20"/>
        </w:rPr>
        <w:t xml:space="preserve"> 61: 74-79. </w:t>
      </w:r>
    </w:p>
    <w:p w:rsidR="00B35F2F" w:rsidRPr="000109AA" w:rsidRDefault="00B35F2F" w:rsidP="000109AA">
      <w:pPr>
        <w:spacing w:before="0"/>
        <w:ind w:left="432" w:hanging="432"/>
        <w:rPr>
          <w:sz w:val="20"/>
          <w:szCs w:val="20"/>
        </w:rPr>
      </w:pPr>
      <w:r w:rsidRPr="000109AA">
        <w:rPr>
          <w:sz w:val="20"/>
          <w:szCs w:val="20"/>
        </w:rPr>
        <w:t>Ezzati</w:t>
      </w:r>
      <w:r>
        <w:rPr>
          <w:sz w:val="20"/>
          <w:szCs w:val="20"/>
        </w:rPr>
        <w:t xml:space="preserve"> M., </w:t>
      </w:r>
      <w:r w:rsidRPr="000109AA">
        <w:rPr>
          <w:sz w:val="20"/>
          <w:szCs w:val="20"/>
        </w:rPr>
        <w:t>Kammen</w:t>
      </w:r>
      <w:r>
        <w:rPr>
          <w:sz w:val="20"/>
          <w:szCs w:val="20"/>
        </w:rPr>
        <w:t xml:space="preserve"> D</w:t>
      </w:r>
      <w:r w:rsidRPr="000109AA">
        <w:rPr>
          <w:sz w:val="20"/>
          <w:szCs w:val="20"/>
        </w:rPr>
        <w:t xml:space="preserve">. 2002. “Evaluating the health benefits of transitions in household energy technology in Kenya.” </w:t>
      </w:r>
      <w:r w:rsidRPr="000109AA">
        <w:rPr>
          <w:i/>
          <w:sz w:val="20"/>
          <w:szCs w:val="20"/>
        </w:rPr>
        <w:t>Energy Policy,</w:t>
      </w:r>
      <w:r w:rsidRPr="000109AA">
        <w:rPr>
          <w:sz w:val="20"/>
          <w:szCs w:val="20"/>
        </w:rPr>
        <w:t xml:space="preserve"> 30:815-26. </w:t>
      </w:r>
    </w:p>
    <w:p w:rsidR="00B35F2F" w:rsidRPr="000109AA" w:rsidRDefault="00B35F2F" w:rsidP="000109AA">
      <w:pPr>
        <w:spacing w:before="0"/>
        <w:ind w:left="432" w:hanging="432"/>
        <w:rPr>
          <w:sz w:val="20"/>
          <w:szCs w:val="20"/>
        </w:rPr>
      </w:pPr>
      <w:r w:rsidRPr="00A22E8C">
        <w:rPr>
          <w:sz w:val="20"/>
          <w:szCs w:val="20"/>
          <w:lang w:val="it-IT"/>
        </w:rPr>
        <w:t xml:space="preserve">Ezzati M., Mbinda, BM., Kammen D. 2000. </w:t>
      </w:r>
      <w:r w:rsidRPr="000109AA">
        <w:rPr>
          <w:sz w:val="20"/>
          <w:szCs w:val="20"/>
        </w:rPr>
        <w:t xml:space="preserve">“Comparison of emissions and residential exposure from traditional and improved biofuel stoves in rural Kenya.” </w:t>
      </w:r>
      <w:r w:rsidRPr="000109AA">
        <w:rPr>
          <w:i/>
          <w:sz w:val="20"/>
          <w:szCs w:val="20"/>
        </w:rPr>
        <w:t xml:space="preserve">Environmental Science and Technology, </w:t>
      </w:r>
      <w:r w:rsidRPr="000109AA">
        <w:rPr>
          <w:sz w:val="20"/>
          <w:szCs w:val="20"/>
        </w:rPr>
        <w:t xml:space="preserve">34:578-83. </w:t>
      </w:r>
    </w:p>
    <w:p w:rsidR="00B35F2F" w:rsidRPr="000109AA" w:rsidRDefault="00B35F2F" w:rsidP="000109AA">
      <w:pPr>
        <w:spacing w:before="0"/>
        <w:ind w:left="432" w:hanging="432"/>
        <w:rPr>
          <w:sz w:val="20"/>
          <w:szCs w:val="20"/>
        </w:rPr>
      </w:pPr>
      <w:r w:rsidRPr="00A22E8C">
        <w:rPr>
          <w:sz w:val="20"/>
          <w:szCs w:val="20"/>
          <w:lang w:val="it-IT"/>
        </w:rPr>
        <w:t xml:space="preserve">Ezzati, M., Saleh H., Kammen D. 2000. </w:t>
      </w:r>
      <w:r w:rsidRPr="000109AA">
        <w:rPr>
          <w:sz w:val="20"/>
          <w:szCs w:val="20"/>
        </w:rPr>
        <w:t xml:space="preserve">“The Contributions of Emission and Spatial Microenvironments to Exposure to Indoor Air Pollution from Biomass Combustion in Kenya.” </w:t>
      </w:r>
      <w:r w:rsidRPr="000109AA">
        <w:rPr>
          <w:i/>
          <w:sz w:val="20"/>
          <w:szCs w:val="20"/>
        </w:rPr>
        <w:t>Environmental Health Perspectives,</w:t>
      </w:r>
      <w:r w:rsidRPr="000109AA">
        <w:rPr>
          <w:sz w:val="20"/>
          <w:szCs w:val="20"/>
        </w:rPr>
        <w:t xml:space="preserve"> 109 (5): 481-488. </w:t>
      </w:r>
    </w:p>
    <w:p w:rsidR="00B35F2F" w:rsidRPr="00F3180D" w:rsidRDefault="00B35F2F" w:rsidP="008862AA">
      <w:pPr>
        <w:spacing w:before="0"/>
        <w:ind w:left="432" w:hanging="432"/>
        <w:rPr>
          <w:sz w:val="20"/>
          <w:szCs w:val="20"/>
        </w:rPr>
      </w:pPr>
      <w:r w:rsidRPr="000109AA">
        <w:rPr>
          <w:sz w:val="20"/>
          <w:szCs w:val="20"/>
        </w:rPr>
        <w:t xml:space="preserve">Household Energy Network. 2008. “The Improved Cooking Stove.” </w:t>
      </w:r>
      <w:r w:rsidRPr="00F3180D">
        <w:rPr>
          <w:sz w:val="20"/>
          <w:szCs w:val="20"/>
        </w:rPr>
        <w:t xml:space="preserve">Available: </w:t>
      </w:r>
      <w:hyperlink r:id="rId9" w:history="1">
        <w:r w:rsidRPr="00F3180D">
          <w:rPr>
            <w:rStyle w:val="Hyperlink"/>
            <w:sz w:val="20"/>
            <w:szCs w:val="20"/>
          </w:rPr>
          <w:t>http://www.hedon.info/Improvedcookstove</w:t>
        </w:r>
      </w:hyperlink>
      <w:r>
        <w:rPr>
          <w:sz w:val="20"/>
          <w:szCs w:val="20"/>
        </w:rPr>
        <w:t xml:space="preserve"> [Accessed October 2010].</w:t>
      </w:r>
    </w:p>
    <w:p w:rsidR="00B35F2F" w:rsidRPr="000109AA" w:rsidRDefault="00B35F2F" w:rsidP="000109AA">
      <w:pPr>
        <w:spacing w:before="0"/>
        <w:ind w:left="432" w:hanging="432"/>
        <w:rPr>
          <w:sz w:val="20"/>
          <w:szCs w:val="20"/>
        </w:rPr>
      </w:pPr>
      <w:r>
        <w:rPr>
          <w:sz w:val="20"/>
          <w:szCs w:val="20"/>
        </w:rPr>
        <w:t xml:space="preserve">McCracken J. and K. </w:t>
      </w:r>
      <w:r w:rsidRPr="000109AA">
        <w:rPr>
          <w:sz w:val="20"/>
          <w:szCs w:val="20"/>
        </w:rPr>
        <w:t xml:space="preserve">Smith 1998. “Emissions and efficiency of improved woodburning cookstoves in highland Guatemala.” </w:t>
      </w:r>
      <w:r w:rsidRPr="000109AA">
        <w:rPr>
          <w:i/>
          <w:sz w:val="20"/>
          <w:szCs w:val="20"/>
        </w:rPr>
        <w:t>Environmental International</w:t>
      </w:r>
      <w:r w:rsidRPr="000109AA">
        <w:rPr>
          <w:sz w:val="20"/>
          <w:szCs w:val="20"/>
        </w:rPr>
        <w:t>, 24:739-47.</w:t>
      </w:r>
    </w:p>
    <w:p w:rsidR="00B35F2F" w:rsidRPr="000109AA" w:rsidRDefault="00B35F2F" w:rsidP="008862AA">
      <w:pPr>
        <w:spacing w:before="0"/>
        <w:ind w:left="432" w:hanging="432"/>
        <w:rPr>
          <w:sz w:val="20"/>
          <w:szCs w:val="20"/>
        </w:rPr>
      </w:pPr>
      <w:r>
        <w:rPr>
          <w:sz w:val="20"/>
          <w:szCs w:val="20"/>
        </w:rPr>
        <w:t xml:space="preserve">Meddleton </w:t>
      </w:r>
      <w:r w:rsidRPr="000109AA">
        <w:rPr>
          <w:sz w:val="20"/>
          <w:szCs w:val="20"/>
        </w:rPr>
        <w:t>ET</w:t>
      </w:r>
      <w:r>
        <w:rPr>
          <w:sz w:val="20"/>
          <w:szCs w:val="20"/>
        </w:rPr>
        <w:t>.</w:t>
      </w:r>
      <w:r w:rsidRPr="000109AA">
        <w:rPr>
          <w:sz w:val="20"/>
          <w:szCs w:val="20"/>
        </w:rPr>
        <w:t xml:space="preserve"> and AH. Morice. 2000.  “Breath carbon monoxide as an indication of smoking habit.” </w:t>
      </w:r>
      <w:r w:rsidRPr="000109AA">
        <w:rPr>
          <w:i/>
          <w:iCs/>
          <w:sz w:val="20"/>
          <w:szCs w:val="20"/>
        </w:rPr>
        <w:t xml:space="preserve">Chest, </w:t>
      </w:r>
      <w:r w:rsidRPr="000109AA">
        <w:rPr>
          <w:sz w:val="20"/>
          <w:szCs w:val="20"/>
        </w:rPr>
        <w:t>117:758-63.</w:t>
      </w:r>
    </w:p>
    <w:p w:rsidR="00B35F2F" w:rsidRPr="000109AA" w:rsidRDefault="00B35F2F" w:rsidP="00164500">
      <w:pPr>
        <w:spacing w:before="0"/>
        <w:ind w:left="432" w:hanging="432"/>
        <w:rPr>
          <w:bCs/>
          <w:sz w:val="20"/>
          <w:szCs w:val="20"/>
        </w:rPr>
      </w:pPr>
      <w:r w:rsidRPr="000109AA">
        <w:rPr>
          <w:sz w:val="20"/>
          <w:szCs w:val="20"/>
        </w:rPr>
        <w:t>Mehta</w:t>
      </w:r>
      <w:r>
        <w:rPr>
          <w:sz w:val="20"/>
          <w:szCs w:val="20"/>
        </w:rPr>
        <w:t xml:space="preserve"> S.,</w:t>
      </w:r>
      <w:r w:rsidRPr="000109AA">
        <w:rPr>
          <w:sz w:val="20"/>
          <w:szCs w:val="20"/>
        </w:rPr>
        <w:t xml:space="preserve"> Prüss-Üstün</w:t>
      </w:r>
      <w:r>
        <w:rPr>
          <w:sz w:val="20"/>
          <w:szCs w:val="20"/>
        </w:rPr>
        <w:t xml:space="preserve"> A.</w:t>
      </w:r>
      <w:r w:rsidRPr="000109AA">
        <w:rPr>
          <w:sz w:val="20"/>
          <w:szCs w:val="20"/>
        </w:rPr>
        <w:t>, Rehfuess</w:t>
      </w:r>
      <w:r>
        <w:rPr>
          <w:sz w:val="20"/>
          <w:szCs w:val="20"/>
        </w:rPr>
        <w:t>, E.</w:t>
      </w:r>
      <w:r w:rsidRPr="000109AA">
        <w:rPr>
          <w:sz w:val="20"/>
          <w:szCs w:val="20"/>
        </w:rPr>
        <w:t xml:space="preserve"> March 2006. “</w:t>
      </w:r>
      <w:r w:rsidRPr="000109AA">
        <w:rPr>
          <w:bCs/>
          <w:sz w:val="20"/>
          <w:szCs w:val="20"/>
        </w:rPr>
        <w:t>Assessing Household Solid Fuel Use: Multiple Implications for the Millennium Development Goals.”</w:t>
      </w:r>
      <w:r w:rsidRPr="000109AA">
        <w:rPr>
          <w:sz w:val="20"/>
          <w:szCs w:val="20"/>
        </w:rPr>
        <w:t xml:space="preserve"> </w:t>
      </w:r>
      <w:r w:rsidRPr="000109AA">
        <w:rPr>
          <w:i/>
          <w:iCs/>
          <w:sz w:val="20"/>
          <w:szCs w:val="20"/>
        </w:rPr>
        <w:t>Environmental Health Perspectives,</w:t>
      </w:r>
      <w:r w:rsidRPr="000109AA">
        <w:rPr>
          <w:sz w:val="20"/>
          <w:szCs w:val="20"/>
        </w:rPr>
        <w:t xml:space="preserve"> 114(3).</w:t>
      </w:r>
    </w:p>
    <w:p w:rsidR="00B35F2F" w:rsidRPr="000109AA" w:rsidRDefault="00B35F2F" w:rsidP="00164500">
      <w:pPr>
        <w:spacing w:before="0"/>
        <w:ind w:left="432" w:hanging="432"/>
        <w:rPr>
          <w:sz w:val="20"/>
          <w:szCs w:val="20"/>
          <w:lang w:eastAsia="en-US"/>
        </w:rPr>
      </w:pPr>
      <w:r w:rsidRPr="000109AA">
        <w:rPr>
          <w:bCs/>
          <w:sz w:val="20"/>
          <w:szCs w:val="20"/>
        </w:rPr>
        <w:t>Miller</w:t>
      </w:r>
      <w:r>
        <w:rPr>
          <w:bCs/>
          <w:sz w:val="20"/>
          <w:szCs w:val="20"/>
        </w:rPr>
        <w:t xml:space="preserve"> G.,</w:t>
      </w:r>
      <w:r w:rsidRPr="000109AA">
        <w:rPr>
          <w:bCs/>
          <w:sz w:val="20"/>
          <w:szCs w:val="20"/>
        </w:rPr>
        <w:t xml:space="preserve"> </w:t>
      </w:r>
      <w:r w:rsidRPr="000109AA">
        <w:rPr>
          <w:sz w:val="20"/>
          <w:szCs w:val="20"/>
          <w:lang w:eastAsia="en-US"/>
        </w:rPr>
        <w:t xml:space="preserve">and A. Mushfiq Mobarak. "Understanding Low Demand: An  Experimental Investigation of Improved Cookstove Adoption in Bangladesh." Yale University. Working Paper. </w:t>
      </w:r>
    </w:p>
    <w:p w:rsidR="00B35F2F" w:rsidRPr="000109AA" w:rsidRDefault="00B35F2F" w:rsidP="008862AA">
      <w:pPr>
        <w:spacing w:before="0"/>
        <w:ind w:left="432" w:hanging="432"/>
        <w:rPr>
          <w:sz w:val="20"/>
          <w:szCs w:val="20"/>
        </w:rPr>
      </w:pPr>
      <w:r w:rsidRPr="000109AA">
        <w:rPr>
          <w:sz w:val="20"/>
          <w:szCs w:val="20"/>
        </w:rPr>
        <w:t>Ruiz-Mercado</w:t>
      </w:r>
      <w:r>
        <w:rPr>
          <w:sz w:val="20"/>
          <w:szCs w:val="20"/>
        </w:rPr>
        <w:t xml:space="preserve"> I.</w:t>
      </w:r>
      <w:r w:rsidRPr="000109AA">
        <w:rPr>
          <w:sz w:val="20"/>
          <w:szCs w:val="20"/>
        </w:rPr>
        <w:t xml:space="preserve">  </w:t>
      </w:r>
      <w:r w:rsidRPr="00C84046">
        <w:rPr>
          <w:sz w:val="20"/>
          <w:szCs w:val="20"/>
        </w:rPr>
        <w:t xml:space="preserve">Lam N. Canuz E., Gilberto D., Smith K. 2008. </w:t>
      </w:r>
      <w:r w:rsidRPr="000109AA">
        <w:rPr>
          <w:sz w:val="20"/>
          <w:szCs w:val="20"/>
        </w:rPr>
        <w:t xml:space="preserve">“Low-cost temperature loggers as stove use monitors (SUMs).” </w:t>
      </w:r>
      <w:r w:rsidRPr="000109AA">
        <w:rPr>
          <w:i/>
          <w:sz w:val="20"/>
          <w:szCs w:val="20"/>
        </w:rPr>
        <w:t>Boiling Point</w:t>
      </w:r>
      <w:r w:rsidRPr="000109AA">
        <w:rPr>
          <w:sz w:val="20"/>
          <w:szCs w:val="20"/>
        </w:rPr>
        <w:t xml:space="preserve"> ,55. </w:t>
      </w:r>
    </w:p>
    <w:p w:rsidR="00B35F2F" w:rsidRPr="000109AA" w:rsidRDefault="00B35F2F" w:rsidP="008862AA">
      <w:pPr>
        <w:spacing w:before="0"/>
        <w:ind w:left="432" w:hanging="432"/>
        <w:rPr>
          <w:sz w:val="20"/>
          <w:szCs w:val="20"/>
        </w:rPr>
      </w:pPr>
      <w:r w:rsidRPr="000109AA">
        <w:rPr>
          <w:sz w:val="20"/>
          <w:szCs w:val="20"/>
        </w:rPr>
        <w:t>Smith</w:t>
      </w:r>
      <w:r>
        <w:rPr>
          <w:sz w:val="20"/>
          <w:szCs w:val="20"/>
        </w:rPr>
        <w:t xml:space="preserve"> K.,</w:t>
      </w:r>
      <w:r w:rsidRPr="000109AA">
        <w:rPr>
          <w:sz w:val="20"/>
          <w:szCs w:val="20"/>
        </w:rPr>
        <w:t xml:space="preserve"> Samet</w:t>
      </w:r>
      <w:r>
        <w:rPr>
          <w:sz w:val="20"/>
          <w:szCs w:val="20"/>
        </w:rPr>
        <w:t xml:space="preserve"> J.</w:t>
      </w:r>
      <w:r w:rsidRPr="000109AA">
        <w:rPr>
          <w:sz w:val="20"/>
          <w:szCs w:val="20"/>
        </w:rPr>
        <w:t xml:space="preserve">, </w:t>
      </w:r>
      <w:r>
        <w:rPr>
          <w:sz w:val="20"/>
          <w:szCs w:val="20"/>
        </w:rPr>
        <w:t xml:space="preserve">Romieu I., </w:t>
      </w:r>
      <w:r w:rsidRPr="000109AA">
        <w:rPr>
          <w:sz w:val="20"/>
          <w:szCs w:val="20"/>
        </w:rPr>
        <w:t>Niger</w:t>
      </w:r>
      <w:r>
        <w:rPr>
          <w:sz w:val="20"/>
          <w:szCs w:val="20"/>
        </w:rPr>
        <w:t xml:space="preserve"> B</w:t>
      </w:r>
      <w:r w:rsidRPr="000109AA">
        <w:rPr>
          <w:sz w:val="20"/>
          <w:szCs w:val="20"/>
        </w:rPr>
        <w:t xml:space="preserve">. 2000. “Indoor air pollution in developing countries and acute lower respiratory infections in children.” </w:t>
      </w:r>
      <w:r w:rsidRPr="000109AA">
        <w:rPr>
          <w:i/>
          <w:sz w:val="20"/>
          <w:szCs w:val="20"/>
        </w:rPr>
        <w:t xml:space="preserve">Thorax: An International Journal of Respiratory Medicine, </w:t>
      </w:r>
      <w:r w:rsidRPr="000109AA">
        <w:rPr>
          <w:sz w:val="20"/>
          <w:szCs w:val="20"/>
        </w:rPr>
        <w:t xml:space="preserve">55(6): 518-532. </w:t>
      </w:r>
    </w:p>
    <w:p w:rsidR="00B35F2F" w:rsidRPr="000109AA" w:rsidRDefault="00B35F2F" w:rsidP="008862AA">
      <w:pPr>
        <w:spacing w:before="0"/>
        <w:ind w:left="432" w:hanging="432"/>
        <w:rPr>
          <w:sz w:val="20"/>
          <w:szCs w:val="20"/>
        </w:rPr>
      </w:pPr>
      <w:r w:rsidRPr="000109AA">
        <w:rPr>
          <w:sz w:val="20"/>
          <w:szCs w:val="20"/>
        </w:rPr>
        <w:lastRenderedPageBreak/>
        <w:t>Smith</w:t>
      </w:r>
      <w:r>
        <w:rPr>
          <w:sz w:val="20"/>
          <w:szCs w:val="20"/>
        </w:rPr>
        <w:t xml:space="preserve"> K. and S. </w:t>
      </w:r>
      <w:r w:rsidRPr="000109AA">
        <w:rPr>
          <w:sz w:val="20"/>
          <w:szCs w:val="20"/>
        </w:rPr>
        <w:t xml:space="preserve">Mehta. 2000. “Health Impact of Indoor Air Pollution and Household Energy in Developing Countries.” Background paper for USAID/WHO Global Consultation.  </w:t>
      </w:r>
    </w:p>
    <w:p w:rsidR="00B35F2F" w:rsidRPr="000109AA" w:rsidRDefault="00B35F2F" w:rsidP="008862AA">
      <w:pPr>
        <w:spacing w:before="0"/>
        <w:ind w:left="432" w:hanging="432"/>
        <w:rPr>
          <w:sz w:val="20"/>
          <w:szCs w:val="20"/>
        </w:rPr>
      </w:pPr>
      <w:r w:rsidRPr="000109AA">
        <w:rPr>
          <w:sz w:val="20"/>
          <w:szCs w:val="20"/>
        </w:rPr>
        <w:t>Smith-Silvertsen</w:t>
      </w:r>
      <w:r>
        <w:rPr>
          <w:sz w:val="20"/>
          <w:szCs w:val="20"/>
        </w:rPr>
        <w:t xml:space="preserve"> T.,</w:t>
      </w:r>
      <w:r w:rsidRPr="000109AA">
        <w:rPr>
          <w:sz w:val="20"/>
          <w:szCs w:val="20"/>
        </w:rPr>
        <w:t xml:space="preserve"> Diaz</w:t>
      </w:r>
      <w:r>
        <w:rPr>
          <w:sz w:val="20"/>
          <w:szCs w:val="20"/>
        </w:rPr>
        <w:t xml:space="preserve"> E.</w:t>
      </w:r>
      <w:r w:rsidRPr="000109AA">
        <w:rPr>
          <w:sz w:val="20"/>
          <w:szCs w:val="20"/>
        </w:rPr>
        <w:t>, Bruce</w:t>
      </w:r>
      <w:r>
        <w:rPr>
          <w:sz w:val="20"/>
          <w:szCs w:val="20"/>
        </w:rPr>
        <w:t xml:space="preserve"> N.</w:t>
      </w:r>
      <w:r w:rsidRPr="000109AA">
        <w:rPr>
          <w:sz w:val="20"/>
          <w:szCs w:val="20"/>
        </w:rPr>
        <w:t>, Diaz</w:t>
      </w:r>
      <w:r>
        <w:rPr>
          <w:sz w:val="20"/>
          <w:szCs w:val="20"/>
        </w:rPr>
        <w:t xml:space="preserve"> A.</w:t>
      </w:r>
      <w:r w:rsidRPr="000109AA">
        <w:rPr>
          <w:sz w:val="20"/>
          <w:szCs w:val="20"/>
        </w:rPr>
        <w:t>, Khalakdina</w:t>
      </w:r>
      <w:r>
        <w:rPr>
          <w:sz w:val="20"/>
          <w:szCs w:val="20"/>
        </w:rPr>
        <w:t xml:space="preserve"> A.</w:t>
      </w:r>
      <w:r w:rsidRPr="000109AA">
        <w:rPr>
          <w:sz w:val="20"/>
          <w:szCs w:val="20"/>
        </w:rPr>
        <w:t>, Schei</w:t>
      </w:r>
      <w:r>
        <w:rPr>
          <w:sz w:val="20"/>
          <w:szCs w:val="20"/>
        </w:rPr>
        <w:t xml:space="preserve"> M.</w:t>
      </w:r>
      <w:r w:rsidRPr="000109AA">
        <w:rPr>
          <w:sz w:val="20"/>
          <w:szCs w:val="20"/>
        </w:rPr>
        <w:t>, McCracken</w:t>
      </w:r>
      <w:r>
        <w:rPr>
          <w:sz w:val="20"/>
          <w:szCs w:val="20"/>
        </w:rPr>
        <w:t xml:space="preserve"> J.</w:t>
      </w:r>
      <w:r w:rsidRPr="000109AA">
        <w:rPr>
          <w:sz w:val="20"/>
          <w:szCs w:val="20"/>
        </w:rPr>
        <w:t>, Arana</w:t>
      </w:r>
      <w:r>
        <w:rPr>
          <w:sz w:val="20"/>
          <w:szCs w:val="20"/>
        </w:rPr>
        <w:t xml:space="preserve"> B</w:t>
      </w:r>
      <w:r w:rsidRPr="000109AA">
        <w:rPr>
          <w:sz w:val="20"/>
          <w:szCs w:val="20"/>
        </w:rPr>
        <w:t>, Klein</w:t>
      </w:r>
      <w:r>
        <w:rPr>
          <w:sz w:val="20"/>
          <w:szCs w:val="20"/>
        </w:rPr>
        <w:t xml:space="preserve"> R.</w:t>
      </w:r>
      <w:r w:rsidRPr="000109AA">
        <w:rPr>
          <w:sz w:val="20"/>
          <w:szCs w:val="20"/>
        </w:rPr>
        <w:t>, Thompson</w:t>
      </w:r>
      <w:r>
        <w:rPr>
          <w:sz w:val="20"/>
          <w:szCs w:val="20"/>
        </w:rPr>
        <w:t xml:space="preserve"> L.</w:t>
      </w:r>
      <w:r w:rsidRPr="000109AA">
        <w:rPr>
          <w:sz w:val="20"/>
          <w:szCs w:val="20"/>
        </w:rPr>
        <w:t>, Smith</w:t>
      </w:r>
      <w:r>
        <w:rPr>
          <w:sz w:val="20"/>
          <w:szCs w:val="20"/>
        </w:rPr>
        <w:t xml:space="preserve"> K</w:t>
      </w:r>
      <w:r w:rsidRPr="000109AA">
        <w:rPr>
          <w:sz w:val="20"/>
          <w:szCs w:val="20"/>
        </w:rPr>
        <w:t xml:space="preserve">. 2004. “Reducing Indoor Air Pollution with a Randomized Intervention Design- A Presentation of the Stove Intervention Study in the Gautemalan Highlands.” </w:t>
      </w:r>
      <w:r w:rsidRPr="000109AA">
        <w:rPr>
          <w:i/>
          <w:sz w:val="20"/>
          <w:szCs w:val="20"/>
        </w:rPr>
        <w:t>Norsk Epidemiologi,</w:t>
      </w:r>
      <w:r w:rsidRPr="000109AA">
        <w:rPr>
          <w:sz w:val="20"/>
          <w:szCs w:val="20"/>
        </w:rPr>
        <w:t xml:space="preserve"> 14(2): 137-143. </w:t>
      </w:r>
    </w:p>
    <w:p w:rsidR="00B35F2F" w:rsidRPr="000109AA" w:rsidRDefault="00B35F2F" w:rsidP="008862AA">
      <w:pPr>
        <w:spacing w:before="0"/>
        <w:ind w:left="432" w:hanging="432"/>
        <w:rPr>
          <w:bCs/>
          <w:sz w:val="20"/>
          <w:szCs w:val="20"/>
        </w:rPr>
      </w:pPr>
      <w:r w:rsidRPr="000109AA">
        <w:rPr>
          <w:i/>
          <w:sz w:val="20"/>
          <w:szCs w:val="20"/>
        </w:rPr>
        <w:t>United Nations Convention to Combat Desertification.</w:t>
      </w:r>
      <w:r w:rsidRPr="000109AA">
        <w:rPr>
          <w:sz w:val="20"/>
          <w:szCs w:val="20"/>
        </w:rPr>
        <w:t xml:space="preserve"> 2010. “Assessing the Health Benefits of Air Pollution Reduction for Children.” </w:t>
      </w:r>
      <w:r w:rsidRPr="000109AA">
        <w:rPr>
          <w:i/>
          <w:sz w:val="20"/>
          <w:szCs w:val="20"/>
        </w:rPr>
        <w:t>Environmental Health Perspectives,</w:t>
      </w:r>
      <w:r w:rsidRPr="000109AA">
        <w:rPr>
          <w:sz w:val="20"/>
          <w:szCs w:val="20"/>
        </w:rPr>
        <w:t xml:space="preserve"> 112(2</w:t>
      </w:r>
      <w:r w:rsidRPr="000109AA">
        <w:rPr>
          <w:bCs/>
          <w:sz w:val="20"/>
          <w:szCs w:val="20"/>
        </w:rPr>
        <w:t>).</w:t>
      </w:r>
    </w:p>
    <w:p w:rsidR="00B35F2F" w:rsidRPr="000109AA" w:rsidRDefault="00B35F2F" w:rsidP="00C42D01">
      <w:pPr>
        <w:spacing w:before="0"/>
        <w:ind w:left="432" w:hanging="432"/>
        <w:rPr>
          <w:sz w:val="20"/>
          <w:szCs w:val="20"/>
        </w:rPr>
      </w:pPr>
      <w:r w:rsidRPr="000109AA">
        <w:rPr>
          <w:sz w:val="20"/>
          <w:szCs w:val="20"/>
        </w:rPr>
        <w:t>World Health Organization. 2010. “Fact Sheet on Indoor Air Pollution.”</w:t>
      </w:r>
      <w:r>
        <w:rPr>
          <w:sz w:val="20"/>
          <w:szCs w:val="20"/>
        </w:rPr>
        <w:t xml:space="preserve"> Available:</w:t>
      </w:r>
      <w:r w:rsidRPr="000109AA">
        <w:rPr>
          <w:sz w:val="20"/>
          <w:szCs w:val="20"/>
        </w:rPr>
        <w:t xml:space="preserve"> </w:t>
      </w:r>
      <w:hyperlink r:id="rId10" w:history="1">
        <w:r w:rsidRPr="000109AA">
          <w:rPr>
            <w:rStyle w:val="Hyperlink"/>
            <w:sz w:val="20"/>
            <w:szCs w:val="20"/>
          </w:rPr>
          <w:t>http://www.who.int/indoorair/en/</w:t>
        </w:r>
      </w:hyperlink>
      <w:r>
        <w:rPr>
          <w:sz w:val="20"/>
          <w:szCs w:val="20"/>
        </w:rPr>
        <w:t xml:space="preserve"> [Accessed October, 2010].</w:t>
      </w:r>
    </w:p>
    <w:p w:rsidR="00B35F2F" w:rsidRDefault="00B35F2F" w:rsidP="00325D30">
      <w:pPr>
        <w:pStyle w:val="NoSpacing"/>
        <w:jc w:val="center"/>
        <w:rPr>
          <w:b/>
        </w:rPr>
        <w:sectPr w:rsidR="00B35F2F" w:rsidSect="00D7605E">
          <w:footerReference w:type="default" r:id="rId11"/>
          <w:pgSz w:w="11906" w:h="16838" w:code="9"/>
          <w:pgMar w:top="1134" w:right="1440" w:bottom="709" w:left="1440" w:header="709" w:footer="709" w:gutter="0"/>
          <w:cols w:space="708"/>
          <w:docGrid w:linePitch="360"/>
        </w:sectPr>
      </w:pPr>
      <w:bookmarkStart w:id="19" w:name="RANGE!B2"/>
      <w:bookmarkEnd w:id="19"/>
    </w:p>
    <w:tbl>
      <w:tblPr>
        <w:tblW w:w="9786" w:type="dxa"/>
        <w:tblInd w:w="-356" w:type="dxa"/>
        <w:tblLayout w:type="fixed"/>
        <w:tblCellMar>
          <w:left w:w="70" w:type="dxa"/>
          <w:right w:w="70" w:type="dxa"/>
        </w:tblCellMar>
        <w:tblLook w:val="00A0"/>
      </w:tblPr>
      <w:tblGrid>
        <w:gridCol w:w="2211"/>
        <w:gridCol w:w="1759"/>
        <w:gridCol w:w="992"/>
        <w:gridCol w:w="950"/>
        <w:gridCol w:w="893"/>
        <w:gridCol w:w="992"/>
        <w:gridCol w:w="993"/>
        <w:gridCol w:w="996"/>
      </w:tblGrid>
      <w:tr w:rsidR="00B35F2F" w:rsidRPr="0078248C" w:rsidTr="00AA1DD5">
        <w:trPr>
          <w:trHeight w:val="360"/>
        </w:trPr>
        <w:tc>
          <w:tcPr>
            <w:tcW w:w="9786" w:type="dxa"/>
            <w:gridSpan w:val="8"/>
            <w:tcBorders>
              <w:top w:val="single" w:sz="8" w:space="0" w:color="auto"/>
              <w:left w:val="single" w:sz="8" w:space="0" w:color="auto"/>
              <w:bottom w:val="single" w:sz="8" w:space="0" w:color="auto"/>
              <w:right w:val="single" w:sz="8" w:space="0" w:color="000000"/>
            </w:tcBorders>
            <w:shd w:val="clear" w:color="000000" w:fill="C0C0C0"/>
            <w:vAlign w:val="center"/>
          </w:tcPr>
          <w:p w:rsidR="00B35F2F" w:rsidRPr="00325D30" w:rsidRDefault="00B35F2F" w:rsidP="00325D30">
            <w:pPr>
              <w:pStyle w:val="NoSpacing"/>
              <w:jc w:val="center"/>
              <w:rPr>
                <w:b/>
              </w:rPr>
            </w:pPr>
            <w:r w:rsidRPr="00325D30">
              <w:rPr>
                <w:b/>
              </w:rPr>
              <w:lastRenderedPageBreak/>
              <w:t>Table 1: Sample Size and General Attendance on Survey Day</w:t>
            </w:r>
            <w:r>
              <w:rPr>
                <w:b/>
              </w:rPr>
              <w:t>s</w:t>
            </w:r>
          </w:p>
        </w:tc>
      </w:tr>
      <w:tr w:rsidR="00B35F2F" w:rsidRPr="0078248C" w:rsidTr="00AA1DD5">
        <w:trPr>
          <w:trHeight w:val="1275"/>
        </w:trPr>
        <w:tc>
          <w:tcPr>
            <w:tcW w:w="3970" w:type="dxa"/>
            <w:gridSpan w:val="2"/>
            <w:vMerge w:val="restart"/>
            <w:tcBorders>
              <w:top w:val="single" w:sz="8" w:space="0" w:color="auto"/>
              <w:left w:val="single" w:sz="8" w:space="0" w:color="auto"/>
              <w:bottom w:val="single" w:sz="8" w:space="0" w:color="000000"/>
              <w:right w:val="single" w:sz="8" w:space="0" w:color="000000"/>
            </w:tcBorders>
            <w:noWrap/>
            <w:vAlign w:val="bottom"/>
          </w:tcPr>
          <w:p w:rsidR="00B35F2F" w:rsidRPr="00A95170" w:rsidRDefault="00B35F2F" w:rsidP="00325D30">
            <w:pPr>
              <w:pStyle w:val="NoSpacing"/>
              <w:rPr>
                <w:sz w:val="20"/>
                <w:szCs w:val="20"/>
              </w:rPr>
            </w:pPr>
            <w:r w:rsidRPr="00A95170">
              <w:rPr>
                <w:sz w:val="20"/>
                <w:szCs w:val="20"/>
              </w:rPr>
              <w:t> </w:t>
            </w:r>
          </w:p>
        </w:tc>
        <w:tc>
          <w:tcPr>
            <w:tcW w:w="992" w:type="dxa"/>
            <w:vMerge w:val="restart"/>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r w:rsidRPr="00A95170">
              <w:rPr>
                <w:sz w:val="20"/>
                <w:szCs w:val="20"/>
              </w:rPr>
              <w:t>Random</w:t>
            </w:r>
            <w:r>
              <w:rPr>
                <w:sz w:val="20"/>
                <w:szCs w:val="20"/>
              </w:rPr>
              <w:t xml:space="preserve">- </w:t>
            </w:r>
            <w:r w:rsidRPr="00A95170">
              <w:rPr>
                <w:sz w:val="20"/>
                <w:szCs w:val="20"/>
              </w:rPr>
              <w:t>ized treat</w:t>
            </w:r>
            <w:r>
              <w:rPr>
                <w:sz w:val="20"/>
                <w:szCs w:val="20"/>
              </w:rPr>
              <w:t>-</w:t>
            </w:r>
            <w:r w:rsidRPr="00A95170">
              <w:rPr>
                <w:sz w:val="20"/>
                <w:szCs w:val="20"/>
              </w:rPr>
              <w:t>ment</w:t>
            </w:r>
          </w:p>
        </w:tc>
        <w:tc>
          <w:tcPr>
            <w:tcW w:w="950" w:type="dxa"/>
            <w:vMerge w:val="restart"/>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r w:rsidRPr="00A95170">
              <w:rPr>
                <w:sz w:val="20"/>
                <w:szCs w:val="20"/>
              </w:rPr>
              <w:t>Random</w:t>
            </w:r>
            <w:r>
              <w:rPr>
                <w:sz w:val="20"/>
                <w:szCs w:val="20"/>
              </w:rPr>
              <w:t>-</w:t>
            </w:r>
            <w:r w:rsidRPr="00A95170">
              <w:rPr>
                <w:sz w:val="20"/>
                <w:szCs w:val="20"/>
              </w:rPr>
              <w:t>ized control</w:t>
            </w:r>
          </w:p>
        </w:tc>
        <w:tc>
          <w:tcPr>
            <w:tcW w:w="893" w:type="dxa"/>
            <w:vMerge w:val="restart"/>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r w:rsidRPr="00A95170">
              <w:rPr>
                <w:sz w:val="20"/>
                <w:szCs w:val="20"/>
              </w:rPr>
              <w:t>Total intention to treat</w:t>
            </w:r>
          </w:p>
        </w:tc>
        <w:tc>
          <w:tcPr>
            <w:tcW w:w="992" w:type="dxa"/>
            <w:vMerge w:val="restart"/>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r w:rsidRPr="00A95170">
              <w:rPr>
                <w:sz w:val="20"/>
                <w:szCs w:val="20"/>
              </w:rPr>
              <w:t>Treatment with at least one other treatment in com</w:t>
            </w:r>
            <w:r>
              <w:rPr>
                <w:sz w:val="20"/>
                <w:szCs w:val="20"/>
              </w:rPr>
              <w:t>-</w:t>
            </w:r>
            <w:r w:rsidRPr="00A95170">
              <w:rPr>
                <w:sz w:val="20"/>
                <w:szCs w:val="20"/>
              </w:rPr>
              <w:t>pound</w:t>
            </w:r>
          </w:p>
        </w:tc>
        <w:tc>
          <w:tcPr>
            <w:tcW w:w="993" w:type="dxa"/>
            <w:vMerge w:val="restart"/>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r w:rsidRPr="00A95170">
              <w:rPr>
                <w:sz w:val="20"/>
                <w:szCs w:val="20"/>
              </w:rPr>
              <w:t>Control with at least one other treatment in compound</w:t>
            </w:r>
          </w:p>
        </w:tc>
        <w:tc>
          <w:tcPr>
            <w:tcW w:w="996" w:type="dxa"/>
            <w:vMerge w:val="restart"/>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r w:rsidRPr="00A95170">
              <w:rPr>
                <w:sz w:val="20"/>
                <w:szCs w:val="20"/>
              </w:rPr>
              <w:t>Only one control in compound</w:t>
            </w:r>
          </w:p>
        </w:tc>
      </w:tr>
      <w:tr w:rsidR="00B35F2F" w:rsidRPr="0078248C" w:rsidTr="00AA1DD5">
        <w:trPr>
          <w:trHeight w:val="350"/>
        </w:trPr>
        <w:tc>
          <w:tcPr>
            <w:tcW w:w="3970" w:type="dxa"/>
            <w:gridSpan w:val="2"/>
            <w:vMerge/>
            <w:tcBorders>
              <w:top w:val="single" w:sz="8" w:space="0" w:color="auto"/>
              <w:left w:val="single" w:sz="8" w:space="0" w:color="auto"/>
              <w:bottom w:val="single" w:sz="8" w:space="0" w:color="000000"/>
              <w:right w:val="single" w:sz="8" w:space="0" w:color="000000"/>
            </w:tcBorders>
            <w:vAlign w:val="center"/>
          </w:tcPr>
          <w:p w:rsidR="00B35F2F" w:rsidRPr="00A95170" w:rsidRDefault="00B35F2F" w:rsidP="00325D30">
            <w:pPr>
              <w:pStyle w:val="NoSpacing"/>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p>
        </w:tc>
        <w:tc>
          <w:tcPr>
            <w:tcW w:w="950" w:type="dxa"/>
            <w:vMerge/>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p>
        </w:tc>
        <w:tc>
          <w:tcPr>
            <w:tcW w:w="893" w:type="dxa"/>
            <w:vMerge/>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p>
        </w:tc>
        <w:tc>
          <w:tcPr>
            <w:tcW w:w="993" w:type="dxa"/>
            <w:vMerge/>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p>
        </w:tc>
        <w:tc>
          <w:tcPr>
            <w:tcW w:w="996" w:type="dxa"/>
            <w:vMerge/>
            <w:tcBorders>
              <w:top w:val="nil"/>
              <w:left w:val="single" w:sz="8" w:space="0" w:color="auto"/>
              <w:bottom w:val="single" w:sz="8" w:space="0" w:color="000000"/>
              <w:right w:val="single" w:sz="8" w:space="0" w:color="auto"/>
            </w:tcBorders>
            <w:vAlign w:val="center"/>
          </w:tcPr>
          <w:p w:rsidR="00B35F2F" w:rsidRPr="00A95170" w:rsidRDefault="00B35F2F" w:rsidP="00325D30">
            <w:pPr>
              <w:pStyle w:val="NoSpacing"/>
              <w:rPr>
                <w:sz w:val="20"/>
                <w:szCs w:val="20"/>
              </w:rPr>
            </w:pPr>
          </w:p>
        </w:tc>
      </w:tr>
      <w:tr w:rsidR="00B35F2F" w:rsidRPr="00A95170" w:rsidTr="00AA1DD5">
        <w:trPr>
          <w:trHeight w:val="315"/>
        </w:trPr>
        <w:tc>
          <w:tcPr>
            <w:tcW w:w="397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rsidR="00B35F2F" w:rsidRPr="00A95170" w:rsidRDefault="00B35F2F" w:rsidP="00325D30">
            <w:pPr>
              <w:pStyle w:val="NoSpacing"/>
              <w:jc w:val="right"/>
              <w:rPr>
                <w:sz w:val="18"/>
                <w:szCs w:val="18"/>
              </w:rPr>
            </w:pPr>
            <w:r w:rsidRPr="00A95170">
              <w:rPr>
                <w:sz w:val="18"/>
                <w:szCs w:val="18"/>
              </w:rPr>
              <w:t>Households Inscribed in the Program who took Baseline</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465</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325</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790</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171</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159</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226</w:t>
            </w:r>
          </w:p>
        </w:tc>
      </w:tr>
      <w:tr w:rsidR="00B35F2F" w:rsidRPr="00A95170" w:rsidTr="00AA1DD5">
        <w:trPr>
          <w:trHeight w:val="559"/>
        </w:trPr>
        <w:tc>
          <w:tcPr>
            <w:tcW w:w="3970"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Withdrew from study either at 1 month follow-up or 6 month follow-up</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12</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36</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48</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w:t>
            </w:r>
          </w:p>
        </w:tc>
      </w:tr>
      <w:tr w:rsidR="00B35F2F" w:rsidRPr="00A95170" w:rsidTr="00AA1DD5">
        <w:trPr>
          <w:trHeight w:val="355"/>
        </w:trPr>
        <w:tc>
          <w:tcPr>
            <w:tcW w:w="3970"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Number Households who took Baseline including those who subsequently withdrew</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477</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361</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838</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184</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186</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300</w:t>
            </w:r>
          </w:p>
        </w:tc>
      </w:tr>
      <w:tr w:rsidR="00B35F2F" w:rsidRPr="00A95170" w:rsidTr="00AA1DD5">
        <w:trPr>
          <w:trHeight w:val="285"/>
        </w:trPr>
        <w:tc>
          <w:tcPr>
            <w:tcW w:w="2211" w:type="dxa"/>
            <w:vMerge w:val="restart"/>
            <w:tcBorders>
              <w:top w:val="nil"/>
              <w:left w:val="single" w:sz="8" w:space="0" w:color="auto"/>
              <w:bottom w:val="nil"/>
              <w:right w:val="single" w:sz="8" w:space="0" w:color="auto"/>
            </w:tcBorders>
            <w:shd w:val="clear" w:color="000000" w:fill="FFFFFF"/>
            <w:vAlign w:val="center"/>
          </w:tcPr>
          <w:p w:rsidR="00B35F2F" w:rsidRPr="00A95170" w:rsidRDefault="00B35F2F" w:rsidP="00325D30">
            <w:pPr>
              <w:pStyle w:val="NoSpacing"/>
              <w:jc w:val="center"/>
              <w:rPr>
                <w:sz w:val="20"/>
                <w:szCs w:val="20"/>
              </w:rPr>
            </w:pPr>
            <w:r w:rsidRPr="00A95170">
              <w:rPr>
                <w:sz w:val="20"/>
                <w:szCs w:val="20"/>
              </w:rPr>
              <w:t>Baseline survey</w:t>
            </w: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Original respondent</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430</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303</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733</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158</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148</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208</w:t>
            </w:r>
          </w:p>
        </w:tc>
      </w:tr>
      <w:tr w:rsidR="00B35F2F" w:rsidRPr="00A95170" w:rsidTr="00AA1DD5">
        <w:trPr>
          <w:trHeight w:val="939"/>
        </w:trPr>
        <w:tc>
          <w:tcPr>
            <w:tcW w:w="2211" w:type="dxa"/>
            <w:vMerge/>
            <w:tcBorders>
              <w:top w:val="nil"/>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Original respondent absent, but another woman in compound responded for her</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35</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22</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57</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11</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11</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18</w:t>
            </w:r>
          </w:p>
        </w:tc>
      </w:tr>
      <w:tr w:rsidR="00B35F2F" w:rsidRPr="00A95170" w:rsidTr="00AA1DD5">
        <w:trPr>
          <w:trHeight w:val="360"/>
        </w:trPr>
        <w:tc>
          <w:tcPr>
            <w:tcW w:w="2211" w:type="dxa"/>
            <w:vMerge/>
            <w:tcBorders>
              <w:top w:val="nil"/>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C0C0C0"/>
            <w:vAlign w:val="center"/>
          </w:tcPr>
          <w:p w:rsidR="00B35F2F" w:rsidRPr="00A95170" w:rsidRDefault="00B35F2F" w:rsidP="00325D30">
            <w:pPr>
              <w:pStyle w:val="NoSpacing"/>
              <w:jc w:val="right"/>
              <w:rPr>
                <w:sz w:val="18"/>
                <w:szCs w:val="18"/>
              </w:rPr>
            </w:pPr>
            <w:r w:rsidRPr="00A95170">
              <w:rPr>
                <w:sz w:val="18"/>
                <w:szCs w:val="18"/>
              </w:rPr>
              <w:t>Total who completed survey</w:t>
            </w:r>
          </w:p>
        </w:tc>
        <w:tc>
          <w:tcPr>
            <w:tcW w:w="992"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465</w:t>
            </w:r>
          </w:p>
        </w:tc>
        <w:tc>
          <w:tcPr>
            <w:tcW w:w="950"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325</w:t>
            </w:r>
          </w:p>
        </w:tc>
        <w:tc>
          <w:tcPr>
            <w:tcW w:w="893"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790</w:t>
            </w:r>
          </w:p>
        </w:tc>
        <w:tc>
          <w:tcPr>
            <w:tcW w:w="992"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171</w:t>
            </w:r>
          </w:p>
        </w:tc>
        <w:tc>
          <w:tcPr>
            <w:tcW w:w="993"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159</w:t>
            </w:r>
          </w:p>
        </w:tc>
        <w:tc>
          <w:tcPr>
            <w:tcW w:w="996"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226</w:t>
            </w:r>
          </w:p>
        </w:tc>
      </w:tr>
      <w:tr w:rsidR="00B35F2F" w:rsidRPr="00A95170" w:rsidTr="00AA1DD5">
        <w:trPr>
          <w:trHeight w:val="315"/>
        </w:trPr>
        <w:tc>
          <w:tcPr>
            <w:tcW w:w="2211" w:type="dxa"/>
            <w:vMerge/>
            <w:tcBorders>
              <w:top w:val="nil"/>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 xml:space="preserve">Absent at Baseline </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23</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36</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59</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13</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27</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74</w:t>
            </w:r>
          </w:p>
        </w:tc>
      </w:tr>
      <w:tr w:rsidR="00B35F2F" w:rsidRPr="00A95170" w:rsidTr="00AA1DD5">
        <w:trPr>
          <w:trHeight w:val="315"/>
        </w:trPr>
        <w:tc>
          <w:tcPr>
            <w:tcW w:w="22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B35F2F" w:rsidRPr="00A95170" w:rsidRDefault="00B35F2F" w:rsidP="00325D30">
            <w:pPr>
              <w:pStyle w:val="NoSpacing"/>
              <w:jc w:val="center"/>
              <w:rPr>
                <w:sz w:val="20"/>
                <w:szCs w:val="20"/>
              </w:rPr>
            </w:pPr>
            <w:r w:rsidRPr="00A95170">
              <w:rPr>
                <w:sz w:val="20"/>
                <w:szCs w:val="20"/>
              </w:rPr>
              <w:t>Baseline wood weighing</w:t>
            </w: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Yes, woman weighed wood</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421</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275</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696</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170</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149</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208</w:t>
            </w:r>
          </w:p>
        </w:tc>
      </w:tr>
      <w:tr w:rsidR="00B35F2F" w:rsidRPr="00A95170" w:rsidTr="00AA1DD5">
        <w:trPr>
          <w:trHeight w:val="315"/>
        </w:trPr>
        <w:tc>
          <w:tcPr>
            <w:tcW w:w="2211" w:type="dxa"/>
            <w:vMerge/>
            <w:tcBorders>
              <w:top w:val="single" w:sz="8" w:space="0" w:color="auto"/>
              <w:left w:val="single" w:sz="8" w:space="0" w:color="auto"/>
              <w:bottom w:val="single" w:sz="8" w:space="0" w:color="000000"/>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No, cook with gas</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19</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17</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36</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12</w:t>
            </w:r>
          </w:p>
        </w:tc>
      </w:tr>
      <w:tr w:rsidR="00B35F2F" w:rsidRPr="00A95170" w:rsidTr="00AA1DD5">
        <w:trPr>
          <w:trHeight w:val="495"/>
        </w:trPr>
        <w:tc>
          <w:tcPr>
            <w:tcW w:w="2211" w:type="dxa"/>
            <w:vMerge/>
            <w:tcBorders>
              <w:top w:val="single" w:sz="8" w:space="0" w:color="auto"/>
              <w:left w:val="single" w:sz="8" w:space="0" w:color="auto"/>
              <w:bottom w:val="single" w:sz="8" w:space="0" w:color="000000"/>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No, took survey but left before wood weighing</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25</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33</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58</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0</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7</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6</w:t>
            </w:r>
          </w:p>
        </w:tc>
      </w:tr>
      <w:tr w:rsidR="00B35F2F" w:rsidRPr="00A95170" w:rsidTr="00AA1DD5">
        <w:trPr>
          <w:trHeight w:val="285"/>
        </w:trPr>
        <w:tc>
          <w:tcPr>
            <w:tcW w:w="2211" w:type="dxa"/>
            <w:vMerge w:val="restart"/>
            <w:tcBorders>
              <w:top w:val="nil"/>
              <w:left w:val="single" w:sz="8" w:space="0" w:color="auto"/>
              <w:bottom w:val="nil"/>
              <w:right w:val="single" w:sz="8" w:space="0" w:color="auto"/>
            </w:tcBorders>
            <w:shd w:val="clear" w:color="000000" w:fill="FFFFFF"/>
            <w:vAlign w:val="center"/>
          </w:tcPr>
          <w:p w:rsidR="00B35F2F" w:rsidRPr="00A95170" w:rsidRDefault="00B35F2F" w:rsidP="00325D30">
            <w:pPr>
              <w:pStyle w:val="NoSpacing"/>
              <w:jc w:val="center"/>
              <w:rPr>
                <w:sz w:val="20"/>
                <w:szCs w:val="20"/>
              </w:rPr>
            </w:pPr>
            <w:r w:rsidRPr="00A95170">
              <w:rPr>
                <w:sz w:val="20"/>
                <w:szCs w:val="20"/>
              </w:rPr>
              <w:t>Follow-up survey</w:t>
            </w: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Original respondent</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230</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165</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395</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69</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54</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122</w:t>
            </w:r>
          </w:p>
        </w:tc>
      </w:tr>
      <w:tr w:rsidR="00B35F2F" w:rsidRPr="00A95170" w:rsidTr="00AA1DD5">
        <w:trPr>
          <w:trHeight w:val="495"/>
        </w:trPr>
        <w:tc>
          <w:tcPr>
            <w:tcW w:w="2211" w:type="dxa"/>
            <w:vMerge/>
            <w:tcBorders>
              <w:top w:val="nil"/>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Original respondent absent but another woman in compound responded for her</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214</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135</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349</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63</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56</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95</w:t>
            </w:r>
          </w:p>
        </w:tc>
      </w:tr>
      <w:tr w:rsidR="00B35F2F" w:rsidRPr="00A95170" w:rsidTr="00AA1DD5">
        <w:trPr>
          <w:trHeight w:val="455"/>
        </w:trPr>
        <w:tc>
          <w:tcPr>
            <w:tcW w:w="2211" w:type="dxa"/>
            <w:vMerge/>
            <w:tcBorders>
              <w:top w:val="nil"/>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Absent at  follow-up</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21</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25</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46</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39</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49</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9</w:t>
            </w:r>
          </w:p>
        </w:tc>
      </w:tr>
      <w:tr w:rsidR="00B35F2F" w:rsidRPr="00A95170" w:rsidTr="00AA1DD5">
        <w:trPr>
          <w:trHeight w:val="315"/>
        </w:trPr>
        <w:tc>
          <w:tcPr>
            <w:tcW w:w="2211" w:type="dxa"/>
            <w:vMerge/>
            <w:tcBorders>
              <w:top w:val="nil"/>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C0C0C0"/>
            <w:vAlign w:val="center"/>
          </w:tcPr>
          <w:p w:rsidR="00B35F2F" w:rsidRPr="00A95170" w:rsidRDefault="00B35F2F" w:rsidP="00325D30">
            <w:pPr>
              <w:pStyle w:val="NoSpacing"/>
              <w:jc w:val="right"/>
              <w:rPr>
                <w:sz w:val="18"/>
                <w:szCs w:val="18"/>
              </w:rPr>
            </w:pPr>
            <w:r w:rsidRPr="00A95170">
              <w:rPr>
                <w:sz w:val="18"/>
                <w:szCs w:val="18"/>
              </w:rPr>
              <w:t>Total who Completed Survey</w:t>
            </w:r>
          </w:p>
        </w:tc>
        <w:tc>
          <w:tcPr>
            <w:tcW w:w="992"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444</w:t>
            </w:r>
          </w:p>
        </w:tc>
        <w:tc>
          <w:tcPr>
            <w:tcW w:w="950"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300</w:t>
            </w:r>
          </w:p>
        </w:tc>
        <w:tc>
          <w:tcPr>
            <w:tcW w:w="893"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744</w:t>
            </w:r>
          </w:p>
        </w:tc>
        <w:tc>
          <w:tcPr>
            <w:tcW w:w="992"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132</w:t>
            </w:r>
          </w:p>
        </w:tc>
        <w:tc>
          <w:tcPr>
            <w:tcW w:w="993"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110</w:t>
            </w:r>
          </w:p>
        </w:tc>
        <w:tc>
          <w:tcPr>
            <w:tcW w:w="996"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217</w:t>
            </w:r>
          </w:p>
        </w:tc>
      </w:tr>
      <w:tr w:rsidR="00B35F2F" w:rsidRPr="00A95170" w:rsidTr="00AA1DD5">
        <w:trPr>
          <w:trHeight w:val="345"/>
        </w:trPr>
        <w:tc>
          <w:tcPr>
            <w:tcW w:w="2211" w:type="dxa"/>
            <w:vMerge w:val="restart"/>
            <w:tcBorders>
              <w:top w:val="single" w:sz="8" w:space="0" w:color="auto"/>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r w:rsidRPr="00A95170">
              <w:rPr>
                <w:sz w:val="20"/>
                <w:szCs w:val="20"/>
              </w:rPr>
              <w:t>Follow-up wood weighing</w:t>
            </w: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Yes, woman weighed wood</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406</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271</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677</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128</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106</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193</w:t>
            </w:r>
          </w:p>
        </w:tc>
      </w:tr>
      <w:tr w:rsidR="00B35F2F" w:rsidRPr="00A95170" w:rsidTr="00AA1DD5">
        <w:trPr>
          <w:trHeight w:val="479"/>
        </w:trPr>
        <w:tc>
          <w:tcPr>
            <w:tcW w:w="2211" w:type="dxa"/>
            <w:vMerge/>
            <w:tcBorders>
              <w:top w:val="single" w:sz="8" w:space="0" w:color="auto"/>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No, cook with gas</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27</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16</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43</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4</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10</w:t>
            </w:r>
          </w:p>
        </w:tc>
      </w:tr>
      <w:tr w:rsidR="00B35F2F" w:rsidRPr="00A95170" w:rsidTr="00AA1DD5">
        <w:trPr>
          <w:trHeight w:val="643"/>
        </w:trPr>
        <w:tc>
          <w:tcPr>
            <w:tcW w:w="2211" w:type="dxa"/>
            <w:vMerge/>
            <w:tcBorders>
              <w:top w:val="single" w:sz="8" w:space="0" w:color="auto"/>
              <w:left w:val="single" w:sz="8" w:space="0" w:color="auto"/>
              <w:bottom w:val="nil"/>
              <w:right w:val="single" w:sz="8" w:space="0" w:color="auto"/>
            </w:tcBorders>
            <w:vAlign w:val="center"/>
          </w:tcPr>
          <w:p w:rsidR="00B35F2F" w:rsidRPr="00A95170" w:rsidRDefault="00B35F2F" w:rsidP="00325D30">
            <w:pPr>
              <w:pStyle w:val="NoSpacing"/>
              <w:jc w:val="center"/>
              <w:rPr>
                <w:sz w:val="20"/>
                <w:szCs w:val="20"/>
              </w:rPr>
            </w:pPr>
          </w:p>
        </w:tc>
        <w:tc>
          <w:tcPr>
            <w:tcW w:w="1759" w:type="dxa"/>
            <w:tcBorders>
              <w:top w:val="nil"/>
              <w:left w:val="nil"/>
              <w:bottom w:val="single" w:sz="8" w:space="0" w:color="auto"/>
              <w:right w:val="single" w:sz="8" w:space="0" w:color="auto"/>
            </w:tcBorders>
            <w:shd w:val="clear" w:color="000000" w:fill="FFFFFF"/>
            <w:vAlign w:val="center"/>
          </w:tcPr>
          <w:p w:rsidR="00B35F2F" w:rsidRPr="00A95170" w:rsidRDefault="00B35F2F" w:rsidP="00325D30">
            <w:pPr>
              <w:pStyle w:val="NoSpacing"/>
              <w:jc w:val="right"/>
              <w:rPr>
                <w:sz w:val="18"/>
                <w:szCs w:val="18"/>
              </w:rPr>
            </w:pPr>
            <w:r w:rsidRPr="00A95170">
              <w:rPr>
                <w:sz w:val="18"/>
                <w:szCs w:val="18"/>
              </w:rPr>
              <w:t>No, took survey but left before weighing wood</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11</w:t>
            </w:r>
          </w:p>
        </w:tc>
        <w:tc>
          <w:tcPr>
            <w:tcW w:w="950"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13</w:t>
            </w:r>
          </w:p>
        </w:tc>
        <w:tc>
          <w:tcPr>
            <w:tcW w:w="8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24</w:t>
            </w:r>
          </w:p>
        </w:tc>
        <w:tc>
          <w:tcPr>
            <w:tcW w:w="992"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0</w:t>
            </w:r>
          </w:p>
        </w:tc>
        <w:tc>
          <w:tcPr>
            <w:tcW w:w="993"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0</w:t>
            </w:r>
          </w:p>
        </w:tc>
        <w:tc>
          <w:tcPr>
            <w:tcW w:w="996" w:type="dxa"/>
            <w:tcBorders>
              <w:top w:val="nil"/>
              <w:left w:val="nil"/>
              <w:bottom w:val="single" w:sz="8" w:space="0" w:color="auto"/>
              <w:right w:val="single" w:sz="8" w:space="0" w:color="auto"/>
            </w:tcBorders>
            <w:shd w:val="clear" w:color="000000" w:fill="FFFFFF"/>
            <w:noWrap/>
            <w:vAlign w:val="center"/>
          </w:tcPr>
          <w:p w:rsidR="00B35F2F" w:rsidRPr="00A95170" w:rsidRDefault="00B35F2F" w:rsidP="00325D30">
            <w:pPr>
              <w:pStyle w:val="NoSpacing"/>
              <w:jc w:val="center"/>
              <w:rPr>
                <w:sz w:val="20"/>
                <w:szCs w:val="20"/>
              </w:rPr>
            </w:pPr>
            <w:r w:rsidRPr="00A95170">
              <w:rPr>
                <w:sz w:val="20"/>
                <w:szCs w:val="20"/>
              </w:rPr>
              <w:t>14</w:t>
            </w:r>
          </w:p>
        </w:tc>
      </w:tr>
      <w:tr w:rsidR="00B35F2F" w:rsidRPr="00A95170" w:rsidTr="00AA1DD5">
        <w:trPr>
          <w:trHeight w:val="121"/>
        </w:trPr>
        <w:tc>
          <w:tcPr>
            <w:tcW w:w="2211" w:type="dxa"/>
            <w:tcBorders>
              <w:top w:val="single" w:sz="8" w:space="0" w:color="auto"/>
              <w:left w:val="single" w:sz="8" w:space="0" w:color="auto"/>
              <w:bottom w:val="single" w:sz="8" w:space="0" w:color="auto"/>
              <w:right w:val="single" w:sz="8" w:space="0" w:color="auto"/>
            </w:tcBorders>
            <w:noWrap/>
            <w:vAlign w:val="center"/>
          </w:tcPr>
          <w:p w:rsidR="00B35F2F" w:rsidRPr="00A95170" w:rsidRDefault="00B35F2F" w:rsidP="00325D30">
            <w:pPr>
              <w:pStyle w:val="NoSpacing"/>
              <w:jc w:val="center"/>
              <w:rPr>
                <w:sz w:val="20"/>
                <w:szCs w:val="20"/>
              </w:rPr>
            </w:pPr>
            <w:r w:rsidRPr="00A95170">
              <w:rPr>
                <w:sz w:val="20"/>
                <w:szCs w:val="20"/>
              </w:rPr>
              <w:t>CO Tubes</w:t>
            </w:r>
          </w:p>
        </w:tc>
        <w:tc>
          <w:tcPr>
            <w:tcW w:w="1759" w:type="dxa"/>
            <w:tcBorders>
              <w:top w:val="nil"/>
              <w:left w:val="nil"/>
              <w:bottom w:val="single" w:sz="8" w:space="0" w:color="auto"/>
              <w:right w:val="single" w:sz="8" w:space="0" w:color="auto"/>
            </w:tcBorders>
            <w:shd w:val="clear" w:color="000000" w:fill="C0C0C0"/>
            <w:vAlign w:val="bottom"/>
          </w:tcPr>
          <w:p w:rsidR="00B35F2F" w:rsidRPr="00A95170" w:rsidRDefault="00B35F2F" w:rsidP="00325D30">
            <w:pPr>
              <w:pStyle w:val="NoSpacing"/>
              <w:jc w:val="right"/>
              <w:rPr>
                <w:sz w:val="18"/>
                <w:szCs w:val="18"/>
              </w:rPr>
            </w:pPr>
            <w:r w:rsidRPr="00A95170">
              <w:rPr>
                <w:sz w:val="18"/>
                <w:szCs w:val="18"/>
              </w:rPr>
              <w:t>Sub-sample CO tube</w:t>
            </w:r>
          </w:p>
        </w:tc>
        <w:tc>
          <w:tcPr>
            <w:tcW w:w="992"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166</w:t>
            </w:r>
          </w:p>
        </w:tc>
        <w:tc>
          <w:tcPr>
            <w:tcW w:w="950"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109</w:t>
            </w:r>
          </w:p>
        </w:tc>
        <w:tc>
          <w:tcPr>
            <w:tcW w:w="893"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275</w:t>
            </w:r>
          </w:p>
        </w:tc>
        <w:tc>
          <w:tcPr>
            <w:tcW w:w="992"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39</w:t>
            </w:r>
          </w:p>
        </w:tc>
        <w:tc>
          <w:tcPr>
            <w:tcW w:w="993"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38</w:t>
            </w:r>
          </w:p>
        </w:tc>
        <w:tc>
          <w:tcPr>
            <w:tcW w:w="996" w:type="dxa"/>
            <w:tcBorders>
              <w:top w:val="nil"/>
              <w:left w:val="nil"/>
              <w:bottom w:val="single" w:sz="8" w:space="0" w:color="auto"/>
              <w:right w:val="single" w:sz="8" w:space="0" w:color="auto"/>
            </w:tcBorders>
            <w:shd w:val="clear" w:color="000000" w:fill="C0C0C0"/>
            <w:noWrap/>
            <w:vAlign w:val="center"/>
          </w:tcPr>
          <w:p w:rsidR="00B35F2F" w:rsidRPr="00A95170" w:rsidRDefault="00B35F2F" w:rsidP="00325D30">
            <w:pPr>
              <w:pStyle w:val="NoSpacing"/>
              <w:jc w:val="center"/>
              <w:rPr>
                <w:sz w:val="20"/>
                <w:szCs w:val="20"/>
              </w:rPr>
            </w:pPr>
            <w:r w:rsidRPr="00A95170">
              <w:rPr>
                <w:sz w:val="20"/>
                <w:szCs w:val="20"/>
              </w:rPr>
              <w:t>84</w:t>
            </w:r>
          </w:p>
        </w:tc>
      </w:tr>
    </w:tbl>
    <w:p w:rsidR="00D7605E" w:rsidRDefault="00B35F2F">
      <w:pPr>
        <w:rPr>
          <w:noProof/>
          <w:lang w:eastAsia="en-US"/>
        </w:rPr>
      </w:pPr>
      <w:r>
        <w:br w:type="page"/>
      </w:r>
      <w:r w:rsidR="00D7605E">
        <w:rPr>
          <w:noProof/>
          <w:lang w:eastAsia="en-US"/>
        </w:rPr>
        <w:lastRenderedPageBreak/>
        <w:drawing>
          <wp:inline distT="0" distB="0" distL="0" distR="0">
            <wp:extent cx="5715000" cy="7917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15000" cy="7917815"/>
                    </a:xfrm>
                    <a:prstGeom prst="rect">
                      <a:avLst/>
                    </a:prstGeom>
                    <a:noFill/>
                    <a:ln w="9525">
                      <a:noFill/>
                      <a:miter lim="800000"/>
                      <a:headEnd/>
                      <a:tailEnd/>
                    </a:ln>
                  </pic:spPr>
                </pic:pic>
              </a:graphicData>
            </a:graphic>
          </wp:inline>
        </w:drawing>
      </w:r>
    </w:p>
    <w:p w:rsidR="00B35F2F" w:rsidRDefault="00D7605E">
      <w:r>
        <w:rPr>
          <w:noProof/>
          <w:lang w:eastAsia="en-US"/>
        </w:rPr>
        <w:br w:type="page"/>
      </w:r>
    </w:p>
    <w:tbl>
      <w:tblPr>
        <w:tblW w:w="9630" w:type="dxa"/>
        <w:tblInd w:w="60" w:type="dxa"/>
        <w:tblCellMar>
          <w:left w:w="70" w:type="dxa"/>
          <w:right w:w="70" w:type="dxa"/>
        </w:tblCellMar>
        <w:tblLook w:val="00A0"/>
      </w:tblPr>
      <w:tblGrid>
        <w:gridCol w:w="5995"/>
        <w:gridCol w:w="1245"/>
        <w:gridCol w:w="1262"/>
        <w:gridCol w:w="1128"/>
      </w:tblGrid>
      <w:tr w:rsidR="00B35F2F" w:rsidRPr="008C224F" w:rsidTr="00ED16DC">
        <w:trPr>
          <w:trHeight w:val="477"/>
        </w:trPr>
        <w:tc>
          <w:tcPr>
            <w:tcW w:w="9630" w:type="dxa"/>
            <w:gridSpan w:val="4"/>
            <w:tcBorders>
              <w:top w:val="single" w:sz="8" w:space="0" w:color="auto"/>
              <w:left w:val="single" w:sz="8" w:space="0" w:color="auto"/>
              <w:bottom w:val="nil"/>
              <w:right w:val="nil"/>
            </w:tcBorders>
            <w:shd w:val="clear" w:color="000000" w:fill="C0C0C0"/>
            <w:noWrap/>
            <w:vAlign w:val="center"/>
          </w:tcPr>
          <w:p w:rsidR="00B35F2F" w:rsidRPr="008C224F" w:rsidRDefault="00B35F2F" w:rsidP="00ED16DC">
            <w:pPr>
              <w:spacing w:after="0"/>
              <w:jc w:val="center"/>
              <w:rPr>
                <w:b/>
                <w:bCs/>
                <w:color w:val="000000"/>
              </w:rPr>
            </w:pPr>
            <w:r>
              <w:br w:type="page"/>
            </w:r>
            <w:r w:rsidRPr="008C224F">
              <w:rPr>
                <w:b/>
                <w:bCs/>
                <w:color w:val="000000"/>
              </w:rPr>
              <w:t>Table 3: Regression: Follow-up Kg. of Wood used Yesterday</w:t>
            </w:r>
          </w:p>
        </w:tc>
      </w:tr>
      <w:tr w:rsidR="00B35F2F" w:rsidRPr="008C224F" w:rsidTr="00ED16DC">
        <w:trPr>
          <w:trHeight w:val="465"/>
        </w:trPr>
        <w:tc>
          <w:tcPr>
            <w:tcW w:w="5995" w:type="dxa"/>
            <w:tcBorders>
              <w:top w:val="nil"/>
              <w:left w:val="nil"/>
              <w:bottom w:val="single" w:sz="4" w:space="0" w:color="auto"/>
              <w:right w:val="nil"/>
            </w:tcBorders>
            <w:shd w:val="clear" w:color="000000" w:fill="FFFFFF"/>
            <w:noWrap/>
            <w:vAlign w:val="bottom"/>
          </w:tcPr>
          <w:p w:rsidR="00B35F2F" w:rsidRPr="000D6E63" w:rsidRDefault="00B35F2F" w:rsidP="00ED16DC">
            <w:pPr>
              <w:spacing w:after="0"/>
              <w:jc w:val="center"/>
              <w:rPr>
                <w:color w:val="000000"/>
                <w:sz w:val="20"/>
                <w:szCs w:val="20"/>
              </w:rPr>
            </w:pPr>
            <w:r w:rsidRPr="000D6E63">
              <w:rPr>
                <w:color w:val="000000"/>
                <w:sz w:val="20"/>
                <w:szCs w:val="20"/>
              </w:rPr>
              <w:t>Coefficient (standard error)</w:t>
            </w:r>
          </w:p>
        </w:tc>
        <w:tc>
          <w:tcPr>
            <w:tcW w:w="3635" w:type="dxa"/>
            <w:gridSpan w:val="3"/>
            <w:tcBorders>
              <w:top w:val="nil"/>
              <w:left w:val="nil"/>
              <w:bottom w:val="single" w:sz="4" w:space="0" w:color="auto"/>
              <w:right w:val="nil"/>
            </w:tcBorders>
            <w:shd w:val="clear" w:color="000000" w:fill="FFFFFF"/>
            <w:vAlign w:val="bottom"/>
          </w:tcPr>
          <w:p w:rsidR="00B35F2F" w:rsidRPr="008C224F" w:rsidRDefault="00B35F2F" w:rsidP="00ED16DC">
            <w:pPr>
              <w:spacing w:after="0"/>
              <w:jc w:val="center"/>
              <w:rPr>
                <w:color w:val="000000"/>
                <w:sz w:val="20"/>
                <w:szCs w:val="20"/>
              </w:rPr>
            </w:pPr>
            <w:r w:rsidRPr="008C224F">
              <w:rPr>
                <w:color w:val="000000"/>
                <w:sz w:val="20"/>
                <w:szCs w:val="20"/>
              </w:rPr>
              <w:t>y= Kg. of wood used yesterday, and Model 3 is the reduced form</w:t>
            </w:r>
          </w:p>
        </w:tc>
      </w:tr>
      <w:tr w:rsidR="00B35F2F" w:rsidRPr="000D6E63" w:rsidTr="00ED16DC">
        <w:trPr>
          <w:trHeight w:val="202"/>
        </w:trPr>
        <w:tc>
          <w:tcPr>
            <w:tcW w:w="5995" w:type="dxa"/>
            <w:tcBorders>
              <w:top w:val="single" w:sz="4" w:space="0" w:color="auto"/>
              <w:left w:val="nil"/>
              <w:bottom w:val="single" w:sz="4" w:space="0" w:color="auto"/>
              <w:right w:val="nil"/>
            </w:tcBorders>
            <w:noWrap/>
            <w:vAlign w:val="bottom"/>
          </w:tcPr>
          <w:p w:rsidR="00B35F2F" w:rsidRPr="008C224F" w:rsidRDefault="00B35F2F" w:rsidP="00ED16DC">
            <w:pPr>
              <w:spacing w:after="0"/>
              <w:rPr>
                <w:color w:val="000000"/>
                <w:sz w:val="20"/>
                <w:szCs w:val="20"/>
              </w:rPr>
            </w:pPr>
            <w:r w:rsidRPr="008C224F">
              <w:rPr>
                <w:color w:val="000000"/>
                <w:sz w:val="20"/>
                <w:szCs w:val="20"/>
              </w:rPr>
              <w:t> </w:t>
            </w:r>
          </w:p>
        </w:tc>
        <w:tc>
          <w:tcPr>
            <w:tcW w:w="1245" w:type="dxa"/>
            <w:tcBorders>
              <w:top w:val="single" w:sz="4" w:space="0" w:color="auto"/>
              <w:left w:val="nil"/>
              <w:bottom w:val="single" w:sz="4" w:space="0" w:color="auto"/>
              <w:right w:val="nil"/>
            </w:tcBorders>
            <w:noWrap/>
          </w:tcPr>
          <w:p w:rsidR="00B35F2F" w:rsidRPr="000D6E63" w:rsidRDefault="00B35F2F" w:rsidP="00ED16DC">
            <w:pPr>
              <w:spacing w:after="0"/>
              <w:jc w:val="center"/>
              <w:rPr>
                <w:color w:val="000000"/>
                <w:sz w:val="20"/>
                <w:szCs w:val="20"/>
              </w:rPr>
            </w:pPr>
            <w:r w:rsidRPr="000D6E63">
              <w:rPr>
                <w:color w:val="000000"/>
                <w:sz w:val="20"/>
                <w:szCs w:val="20"/>
              </w:rPr>
              <w:t>1</w:t>
            </w:r>
          </w:p>
        </w:tc>
        <w:tc>
          <w:tcPr>
            <w:tcW w:w="1262" w:type="dxa"/>
            <w:tcBorders>
              <w:top w:val="single" w:sz="4" w:space="0" w:color="auto"/>
              <w:left w:val="nil"/>
              <w:bottom w:val="single" w:sz="4" w:space="0" w:color="auto"/>
              <w:right w:val="nil"/>
            </w:tcBorders>
            <w:noWrap/>
          </w:tcPr>
          <w:p w:rsidR="00B35F2F" w:rsidRPr="000D6E63" w:rsidRDefault="00B35F2F" w:rsidP="00ED16DC">
            <w:pPr>
              <w:spacing w:after="0"/>
              <w:jc w:val="center"/>
              <w:rPr>
                <w:color w:val="000000"/>
                <w:sz w:val="20"/>
                <w:szCs w:val="20"/>
              </w:rPr>
            </w:pPr>
            <w:r w:rsidRPr="000D6E63">
              <w:rPr>
                <w:color w:val="000000"/>
                <w:sz w:val="20"/>
                <w:szCs w:val="20"/>
              </w:rPr>
              <w:t>2</w:t>
            </w:r>
            <w:r w:rsidRPr="000D6E63">
              <w:rPr>
                <w:color w:val="000000"/>
                <w:sz w:val="20"/>
                <w:szCs w:val="20"/>
                <w:vertAlign w:val="superscript"/>
              </w:rPr>
              <w:t>a</w:t>
            </w:r>
          </w:p>
        </w:tc>
        <w:tc>
          <w:tcPr>
            <w:tcW w:w="1128" w:type="dxa"/>
            <w:tcBorders>
              <w:top w:val="single" w:sz="4" w:space="0" w:color="auto"/>
              <w:left w:val="nil"/>
              <w:bottom w:val="single" w:sz="4" w:space="0" w:color="auto"/>
              <w:right w:val="nil"/>
            </w:tcBorders>
            <w:noWrap/>
          </w:tcPr>
          <w:p w:rsidR="00B35F2F" w:rsidRPr="000D6E63" w:rsidRDefault="00B35F2F" w:rsidP="00ED16DC">
            <w:pPr>
              <w:spacing w:after="0"/>
              <w:jc w:val="center"/>
              <w:rPr>
                <w:color w:val="000000"/>
                <w:sz w:val="20"/>
                <w:szCs w:val="20"/>
              </w:rPr>
            </w:pPr>
            <w:r w:rsidRPr="000D6E63">
              <w:rPr>
                <w:color w:val="000000"/>
                <w:sz w:val="20"/>
                <w:szCs w:val="20"/>
              </w:rPr>
              <w:t>3</w:t>
            </w:r>
          </w:p>
        </w:tc>
      </w:tr>
      <w:tr w:rsidR="00B35F2F" w:rsidRPr="000D6E63" w:rsidTr="00ED16DC">
        <w:trPr>
          <w:trHeight w:val="491"/>
        </w:trPr>
        <w:tc>
          <w:tcPr>
            <w:tcW w:w="5995" w:type="dxa"/>
            <w:tcBorders>
              <w:top w:val="single" w:sz="4" w:space="0" w:color="auto"/>
            </w:tcBorders>
            <w:vAlign w:val="center"/>
          </w:tcPr>
          <w:p w:rsidR="00B35F2F" w:rsidRPr="008C224F" w:rsidRDefault="00B35F2F" w:rsidP="00ED16DC">
            <w:pPr>
              <w:spacing w:after="0"/>
              <w:rPr>
                <w:color w:val="000000"/>
                <w:sz w:val="20"/>
                <w:szCs w:val="20"/>
              </w:rPr>
            </w:pPr>
            <w:r w:rsidRPr="008C224F">
              <w:rPr>
                <w:color w:val="000000"/>
                <w:sz w:val="20"/>
                <w:szCs w:val="20"/>
              </w:rPr>
              <w:t xml:space="preserve">Cook for 6 persons or less *Treatment indicator </w:t>
            </w:r>
            <w:r w:rsidRPr="008C224F">
              <w:rPr>
                <w:color w:val="000000"/>
                <w:sz w:val="20"/>
                <w:szCs w:val="20"/>
                <w:vertAlign w:val="superscript"/>
              </w:rPr>
              <w:t>c</w:t>
            </w:r>
          </w:p>
        </w:tc>
        <w:tc>
          <w:tcPr>
            <w:tcW w:w="1245" w:type="dxa"/>
            <w:tcBorders>
              <w:top w:val="single" w:sz="4" w:space="0" w:color="auto"/>
            </w:tcBorders>
            <w:vAlign w:val="center"/>
          </w:tcPr>
          <w:p w:rsidR="00B35F2F" w:rsidRPr="000D6E63" w:rsidRDefault="00B35F2F" w:rsidP="00ED16DC">
            <w:pPr>
              <w:spacing w:after="0"/>
              <w:jc w:val="center"/>
              <w:rPr>
                <w:color w:val="000000"/>
                <w:sz w:val="20"/>
                <w:szCs w:val="20"/>
              </w:rPr>
            </w:pPr>
            <w:r w:rsidRPr="000D6E63">
              <w:rPr>
                <w:color w:val="000000"/>
                <w:sz w:val="20"/>
                <w:szCs w:val="20"/>
              </w:rPr>
              <w:t>0.31 (0.73)</w:t>
            </w:r>
          </w:p>
        </w:tc>
        <w:tc>
          <w:tcPr>
            <w:tcW w:w="1262" w:type="dxa"/>
            <w:tcBorders>
              <w:top w:val="single" w:sz="4" w:space="0" w:color="auto"/>
            </w:tcBorders>
            <w:vAlign w:val="center"/>
          </w:tcPr>
          <w:p w:rsidR="00B35F2F" w:rsidRPr="000D6E63" w:rsidRDefault="00B35F2F" w:rsidP="00ED16DC">
            <w:pPr>
              <w:spacing w:after="0"/>
              <w:jc w:val="center"/>
              <w:rPr>
                <w:color w:val="000000"/>
                <w:sz w:val="20"/>
                <w:szCs w:val="20"/>
              </w:rPr>
            </w:pPr>
            <w:r w:rsidRPr="000D6E63">
              <w:rPr>
                <w:color w:val="000000"/>
                <w:sz w:val="20"/>
                <w:szCs w:val="20"/>
              </w:rPr>
              <w:t>0.20 (0.72)</w:t>
            </w:r>
          </w:p>
        </w:tc>
        <w:tc>
          <w:tcPr>
            <w:tcW w:w="1128" w:type="dxa"/>
            <w:tcBorders>
              <w:top w:val="single" w:sz="4" w:space="0" w:color="auto"/>
            </w:tcBorders>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69"/>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7-12 persons *Treatment indicator </w:t>
            </w:r>
            <w:r w:rsidRPr="008C224F">
              <w:rPr>
                <w:color w:val="000000"/>
                <w:sz w:val="20"/>
                <w:szCs w:val="20"/>
                <w:vertAlign w:val="superscript"/>
              </w:rPr>
              <w:t>c</w:t>
            </w:r>
          </w:p>
        </w:tc>
        <w:tc>
          <w:tcPr>
            <w:tcW w:w="1245" w:type="dxa"/>
            <w:vAlign w:val="center"/>
          </w:tcPr>
          <w:p w:rsidR="00B35F2F" w:rsidRPr="000D6E63" w:rsidRDefault="00B35F2F" w:rsidP="00ED16DC">
            <w:pPr>
              <w:spacing w:after="0"/>
              <w:jc w:val="center"/>
              <w:rPr>
                <w:color w:val="000000"/>
                <w:sz w:val="20"/>
                <w:szCs w:val="20"/>
              </w:rPr>
            </w:pPr>
            <w:r w:rsidRPr="000D6E63">
              <w:rPr>
                <w:color w:val="000000"/>
                <w:sz w:val="20"/>
                <w:szCs w:val="20"/>
              </w:rPr>
              <w:t>-1.38 (0.48)**</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-1.43 (0.48)**</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49"/>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13 persons or more *Treatment Indicator </w:t>
            </w:r>
            <w:r w:rsidRPr="008C224F">
              <w:rPr>
                <w:color w:val="000000"/>
                <w:sz w:val="20"/>
                <w:szCs w:val="20"/>
                <w:vertAlign w:val="superscript"/>
              </w:rPr>
              <w:t>c</w:t>
            </w:r>
          </w:p>
        </w:tc>
        <w:tc>
          <w:tcPr>
            <w:tcW w:w="1245" w:type="dxa"/>
            <w:vAlign w:val="center"/>
          </w:tcPr>
          <w:p w:rsidR="00B35F2F" w:rsidRPr="000D6E63" w:rsidRDefault="00B35F2F" w:rsidP="00ED16DC">
            <w:pPr>
              <w:spacing w:after="0"/>
              <w:jc w:val="center"/>
              <w:rPr>
                <w:color w:val="000000"/>
                <w:sz w:val="20"/>
                <w:szCs w:val="20"/>
              </w:rPr>
            </w:pPr>
            <w:r w:rsidRPr="000D6E63">
              <w:rPr>
                <w:color w:val="000000"/>
                <w:sz w:val="20"/>
                <w:szCs w:val="20"/>
              </w:rPr>
              <w:t>0.10</w:t>
            </w:r>
            <w:r>
              <w:rPr>
                <w:color w:val="000000"/>
                <w:sz w:val="20"/>
                <w:szCs w:val="20"/>
              </w:rPr>
              <w:t xml:space="preserve">  </w:t>
            </w:r>
            <w:r w:rsidRPr="000D6E63">
              <w:rPr>
                <w:color w:val="000000"/>
                <w:sz w:val="20"/>
                <w:szCs w:val="20"/>
              </w:rPr>
              <w:t xml:space="preserve"> (0.56)</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 xml:space="preserve">-0.09 </w:t>
            </w:r>
            <w:r>
              <w:rPr>
                <w:color w:val="000000"/>
                <w:sz w:val="20"/>
                <w:szCs w:val="20"/>
              </w:rPr>
              <w:t xml:space="preserve"> </w:t>
            </w:r>
            <w:r w:rsidRPr="000D6E63">
              <w:rPr>
                <w:color w:val="000000"/>
                <w:sz w:val="20"/>
                <w:szCs w:val="20"/>
              </w:rPr>
              <w:t>(0.54)</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58"/>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6 persons or less </w:t>
            </w:r>
            <w:r w:rsidRPr="008C224F">
              <w:rPr>
                <w:color w:val="000000"/>
                <w:sz w:val="20"/>
                <w:szCs w:val="20"/>
                <w:vertAlign w:val="superscript"/>
              </w:rPr>
              <w:t>c</w:t>
            </w:r>
          </w:p>
        </w:tc>
        <w:tc>
          <w:tcPr>
            <w:tcW w:w="1245"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64"/>
        </w:trPr>
        <w:tc>
          <w:tcPr>
            <w:tcW w:w="5995" w:type="dxa"/>
            <w:vAlign w:val="center"/>
          </w:tcPr>
          <w:p w:rsidR="00B35F2F" w:rsidRPr="000D6E63" w:rsidRDefault="00B35F2F" w:rsidP="00ED16DC">
            <w:pPr>
              <w:spacing w:after="0"/>
              <w:rPr>
                <w:color w:val="000000"/>
                <w:sz w:val="20"/>
                <w:szCs w:val="20"/>
              </w:rPr>
            </w:pPr>
            <w:r w:rsidRPr="000D6E63">
              <w:rPr>
                <w:color w:val="000000"/>
                <w:sz w:val="20"/>
                <w:szCs w:val="20"/>
              </w:rPr>
              <w:t xml:space="preserve">Cook for 7-12 persons </w:t>
            </w:r>
            <w:r w:rsidRPr="000D6E63">
              <w:rPr>
                <w:color w:val="000000"/>
                <w:sz w:val="20"/>
                <w:szCs w:val="20"/>
                <w:vertAlign w:val="superscript"/>
              </w:rPr>
              <w:t>c</w:t>
            </w:r>
          </w:p>
        </w:tc>
        <w:tc>
          <w:tcPr>
            <w:tcW w:w="1245" w:type="dxa"/>
            <w:vAlign w:val="center"/>
          </w:tcPr>
          <w:p w:rsidR="00B35F2F" w:rsidRPr="000D6E63" w:rsidRDefault="00B35F2F" w:rsidP="00ED16DC">
            <w:pPr>
              <w:spacing w:after="0"/>
              <w:jc w:val="center"/>
              <w:rPr>
                <w:color w:val="000000"/>
                <w:sz w:val="20"/>
                <w:szCs w:val="20"/>
              </w:rPr>
            </w:pPr>
            <w:r w:rsidRPr="000D6E63">
              <w:rPr>
                <w:color w:val="000000"/>
                <w:sz w:val="20"/>
                <w:szCs w:val="20"/>
              </w:rPr>
              <w:t>1.75 (0.66)**</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1.75 (0.65)**</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45"/>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13 persons or more </w:t>
            </w:r>
            <w:r w:rsidRPr="008C224F">
              <w:rPr>
                <w:color w:val="000000"/>
                <w:sz w:val="20"/>
                <w:szCs w:val="20"/>
                <w:vertAlign w:val="superscript"/>
              </w:rPr>
              <w:t>c</w:t>
            </w:r>
          </w:p>
        </w:tc>
        <w:tc>
          <w:tcPr>
            <w:tcW w:w="1245" w:type="dxa"/>
            <w:vAlign w:val="center"/>
          </w:tcPr>
          <w:p w:rsidR="00B35F2F" w:rsidRPr="000D6E63" w:rsidRDefault="00B35F2F" w:rsidP="00ED16DC">
            <w:pPr>
              <w:spacing w:after="0"/>
              <w:jc w:val="center"/>
              <w:rPr>
                <w:color w:val="000000"/>
                <w:sz w:val="20"/>
                <w:szCs w:val="20"/>
              </w:rPr>
            </w:pPr>
            <w:r w:rsidRPr="000D6E63">
              <w:rPr>
                <w:color w:val="000000"/>
                <w:sz w:val="20"/>
                <w:szCs w:val="20"/>
              </w:rPr>
              <w:t>2.43 (0.71)***</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2.12 (0.73)**</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67"/>
        </w:trPr>
        <w:tc>
          <w:tcPr>
            <w:tcW w:w="5995" w:type="dxa"/>
            <w:vAlign w:val="center"/>
          </w:tcPr>
          <w:p w:rsidR="00B35F2F" w:rsidRPr="000D6E63" w:rsidRDefault="00B35F2F" w:rsidP="00ED16DC">
            <w:pPr>
              <w:spacing w:after="0"/>
              <w:rPr>
                <w:color w:val="000000"/>
                <w:sz w:val="20"/>
                <w:szCs w:val="20"/>
              </w:rPr>
            </w:pPr>
            <w:r w:rsidRPr="000D6E63">
              <w:rPr>
                <w:color w:val="000000"/>
                <w:sz w:val="20"/>
                <w:szCs w:val="20"/>
              </w:rPr>
              <w:t xml:space="preserve">Village fixed effects </w:t>
            </w:r>
            <w:r w:rsidRPr="000D6E63">
              <w:rPr>
                <w:color w:val="000000"/>
                <w:sz w:val="20"/>
                <w:szCs w:val="20"/>
                <w:vertAlign w:val="superscript"/>
              </w:rPr>
              <w:t>b</w:t>
            </w:r>
          </w:p>
        </w:tc>
        <w:tc>
          <w:tcPr>
            <w:tcW w:w="1245" w:type="dxa"/>
            <w:vAlign w:val="center"/>
          </w:tcPr>
          <w:p w:rsidR="00B35F2F" w:rsidRPr="000D6E63" w:rsidRDefault="00B35F2F" w:rsidP="00ED16DC">
            <w:pPr>
              <w:spacing w:after="0"/>
              <w:jc w:val="center"/>
              <w:rPr>
                <w:color w:val="000000"/>
                <w:sz w:val="20"/>
                <w:szCs w:val="20"/>
              </w:rPr>
            </w:pPr>
            <w:r w:rsidRPr="000D6E63">
              <w:rPr>
                <w:color w:val="000000"/>
                <w:sz w:val="20"/>
                <w:szCs w:val="20"/>
              </w:rPr>
              <w:t>Yes***</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Yes***</w:t>
            </w:r>
          </w:p>
        </w:tc>
        <w:tc>
          <w:tcPr>
            <w:tcW w:w="1128" w:type="dxa"/>
            <w:vAlign w:val="center"/>
          </w:tcPr>
          <w:p w:rsidR="00B35F2F" w:rsidRPr="000D6E63" w:rsidRDefault="00B35F2F" w:rsidP="00ED16DC">
            <w:pPr>
              <w:spacing w:after="0"/>
              <w:ind w:left="62" w:right="-66" w:firstLine="370"/>
              <w:rPr>
                <w:color w:val="000000"/>
                <w:sz w:val="20"/>
                <w:szCs w:val="20"/>
              </w:rPr>
            </w:pPr>
            <w:r w:rsidRPr="000D6E63">
              <w:rPr>
                <w:color w:val="000000"/>
                <w:sz w:val="20"/>
                <w:szCs w:val="20"/>
              </w:rPr>
              <w:t>Yes***</w:t>
            </w:r>
          </w:p>
        </w:tc>
      </w:tr>
      <w:tr w:rsidR="00B35F2F" w:rsidRPr="000D6E63" w:rsidTr="00ED16DC">
        <w:trPr>
          <w:trHeight w:val="560"/>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Lunch kg. of wood used </w:t>
            </w:r>
            <w:r w:rsidRPr="008C224F">
              <w:rPr>
                <w:color w:val="000000"/>
                <w:sz w:val="20"/>
                <w:szCs w:val="20"/>
                <w:vertAlign w:val="superscript"/>
              </w:rPr>
              <w:t>b</w:t>
            </w:r>
          </w:p>
        </w:tc>
        <w:tc>
          <w:tcPr>
            <w:tcW w:w="1245" w:type="dxa"/>
          </w:tcPr>
          <w:p w:rsidR="00B35F2F" w:rsidRDefault="00B35F2F" w:rsidP="00ED16DC">
            <w:pPr>
              <w:jc w:val="center"/>
            </w:pPr>
            <w:r w:rsidRPr="000D6E63">
              <w:rPr>
                <w:color w:val="000000"/>
                <w:sz w:val="20"/>
                <w:szCs w:val="20"/>
              </w:rPr>
              <w:t>...</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0.29 (0.09)***</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55"/>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Amount of money spent last week on gas </w:t>
            </w:r>
            <w:r w:rsidRPr="008C224F">
              <w:rPr>
                <w:color w:val="000000"/>
                <w:sz w:val="20"/>
                <w:szCs w:val="20"/>
                <w:vertAlign w:val="superscript"/>
              </w:rPr>
              <w:t>b</w:t>
            </w:r>
          </w:p>
        </w:tc>
        <w:tc>
          <w:tcPr>
            <w:tcW w:w="1245" w:type="dxa"/>
          </w:tcPr>
          <w:p w:rsidR="00B35F2F" w:rsidRDefault="00B35F2F" w:rsidP="00ED16DC">
            <w:pPr>
              <w:jc w:val="center"/>
            </w:pPr>
            <w:r w:rsidRPr="000D6E63">
              <w:rPr>
                <w:color w:val="000000"/>
                <w:sz w:val="20"/>
                <w:szCs w:val="20"/>
              </w:rPr>
              <w:t>...</w:t>
            </w:r>
          </w:p>
        </w:tc>
        <w:tc>
          <w:tcPr>
            <w:tcW w:w="1262" w:type="dxa"/>
            <w:vAlign w:val="center"/>
          </w:tcPr>
          <w:p w:rsidR="00B35F2F" w:rsidRPr="000D6E63" w:rsidRDefault="00B35F2F" w:rsidP="00ED16DC">
            <w:pPr>
              <w:spacing w:after="0"/>
              <w:jc w:val="center"/>
              <w:rPr>
                <w:color w:val="000000"/>
                <w:sz w:val="20"/>
                <w:szCs w:val="20"/>
              </w:rPr>
            </w:pPr>
            <w:r w:rsidRPr="000D6E63">
              <w:rPr>
                <w:color w:val="000000"/>
                <w:sz w:val="20"/>
                <w:szCs w:val="20"/>
              </w:rPr>
              <w:t>0.01 (0.00)**</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w:t>
            </w:r>
          </w:p>
        </w:tc>
      </w:tr>
      <w:tr w:rsidR="00B35F2F" w:rsidRPr="000D6E63" w:rsidTr="00ED16DC">
        <w:trPr>
          <w:trHeight w:val="549"/>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6 persons or less *Treatment indicator </w:t>
            </w:r>
            <w:r w:rsidRPr="008C224F">
              <w:rPr>
                <w:color w:val="000000"/>
                <w:sz w:val="20"/>
                <w:szCs w:val="20"/>
                <w:vertAlign w:val="superscript"/>
              </w:rPr>
              <w:t>b</w:t>
            </w:r>
          </w:p>
        </w:tc>
        <w:tc>
          <w:tcPr>
            <w:tcW w:w="1245" w:type="dxa"/>
          </w:tcPr>
          <w:p w:rsidR="00B35F2F" w:rsidRDefault="00B35F2F" w:rsidP="00ED16DC">
            <w:pPr>
              <w:jc w:val="center"/>
            </w:pPr>
            <w:r w:rsidRPr="000D6E63">
              <w:rPr>
                <w:color w:val="000000"/>
                <w:sz w:val="20"/>
                <w:szCs w:val="20"/>
              </w:rPr>
              <w:t>...</w:t>
            </w:r>
          </w:p>
        </w:tc>
        <w:tc>
          <w:tcPr>
            <w:tcW w:w="1262" w:type="dxa"/>
          </w:tcPr>
          <w:p w:rsidR="00B35F2F" w:rsidRDefault="00B35F2F" w:rsidP="00ED16DC">
            <w:pPr>
              <w:jc w:val="center"/>
            </w:pPr>
            <w:r w:rsidRPr="000D6E63">
              <w:rPr>
                <w:color w:val="000000"/>
                <w:sz w:val="20"/>
                <w:szCs w:val="20"/>
              </w:rPr>
              <w:t>...</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-2.65 (0.91)**</w:t>
            </w:r>
          </w:p>
        </w:tc>
      </w:tr>
      <w:tr w:rsidR="00B35F2F" w:rsidRPr="000D6E63" w:rsidTr="00ED16DC">
        <w:trPr>
          <w:trHeight w:val="571"/>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7-12 persons *Treatment indicator </w:t>
            </w:r>
            <w:r w:rsidRPr="008C224F">
              <w:rPr>
                <w:color w:val="000000"/>
                <w:sz w:val="20"/>
                <w:szCs w:val="20"/>
                <w:vertAlign w:val="superscript"/>
              </w:rPr>
              <w:t>b</w:t>
            </w:r>
          </w:p>
        </w:tc>
        <w:tc>
          <w:tcPr>
            <w:tcW w:w="1245" w:type="dxa"/>
          </w:tcPr>
          <w:p w:rsidR="00B35F2F" w:rsidRDefault="00B35F2F" w:rsidP="00ED16DC">
            <w:pPr>
              <w:jc w:val="center"/>
            </w:pPr>
            <w:r w:rsidRPr="000D6E63">
              <w:rPr>
                <w:color w:val="000000"/>
                <w:sz w:val="20"/>
                <w:szCs w:val="20"/>
              </w:rPr>
              <w:t>...</w:t>
            </w:r>
          </w:p>
        </w:tc>
        <w:tc>
          <w:tcPr>
            <w:tcW w:w="1262" w:type="dxa"/>
          </w:tcPr>
          <w:p w:rsidR="00B35F2F" w:rsidRDefault="00B35F2F" w:rsidP="00ED16DC">
            <w:pPr>
              <w:jc w:val="center"/>
            </w:pPr>
            <w:r w:rsidRPr="000D6E63">
              <w:rPr>
                <w:color w:val="000000"/>
                <w:sz w:val="20"/>
                <w:szCs w:val="20"/>
              </w:rPr>
              <w:t>...</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-1.47 (0.55)**</w:t>
            </w:r>
          </w:p>
        </w:tc>
      </w:tr>
      <w:tr w:rsidR="00B35F2F" w:rsidRPr="000D6E63" w:rsidTr="00ED16DC">
        <w:trPr>
          <w:trHeight w:val="551"/>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13 persons or more *Treatment Indicator </w:t>
            </w:r>
            <w:r w:rsidRPr="008C224F">
              <w:rPr>
                <w:color w:val="000000"/>
                <w:sz w:val="20"/>
                <w:szCs w:val="20"/>
                <w:vertAlign w:val="superscript"/>
              </w:rPr>
              <w:t>b</w:t>
            </w:r>
          </w:p>
        </w:tc>
        <w:tc>
          <w:tcPr>
            <w:tcW w:w="1245" w:type="dxa"/>
          </w:tcPr>
          <w:p w:rsidR="00B35F2F" w:rsidRDefault="00B35F2F" w:rsidP="00ED16DC">
            <w:pPr>
              <w:jc w:val="center"/>
            </w:pPr>
            <w:r w:rsidRPr="000D6E63">
              <w:rPr>
                <w:color w:val="000000"/>
                <w:sz w:val="20"/>
                <w:szCs w:val="20"/>
              </w:rPr>
              <w:t>...</w:t>
            </w:r>
          </w:p>
        </w:tc>
        <w:tc>
          <w:tcPr>
            <w:tcW w:w="1262" w:type="dxa"/>
          </w:tcPr>
          <w:p w:rsidR="00B35F2F" w:rsidRDefault="00B35F2F" w:rsidP="00ED16DC">
            <w:pPr>
              <w:jc w:val="center"/>
            </w:pPr>
            <w:r w:rsidRPr="000D6E63">
              <w:rPr>
                <w:color w:val="000000"/>
                <w:sz w:val="20"/>
                <w:szCs w:val="20"/>
              </w:rPr>
              <w:t>...</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 xml:space="preserve">0.48 </w:t>
            </w:r>
            <w:r>
              <w:rPr>
                <w:color w:val="000000"/>
                <w:sz w:val="20"/>
                <w:szCs w:val="20"/>
              </w:rPr>
              <w:t xml:space="preserve">   </w:t>
            </w:r>
            <w:r w:rsidRPr="000D6E63">
              <w:rPr>
                <w:color w:val="000000"/>
                <w:sz w:val="20"/>
                <w:szCs w:val="20"/>
              </w:rPr>
              <w:t>(0.47)</w:t>
            </w:r>
          </w:p>
        </w:tc>
      </w:tr>
      <w:tr w:rsidR="00B35F2F" w:rsidRPr="000D6E63" w:rsidTr="00ED16DC">
        <w:trPr>
          <w:trHeight w:val="425"/>
        </w:trPr>
        <w:tc>
          <w:tcPr>
            <w:tcW w:w="5995" w:type="dxa"/>
            <w:vAlign w:val="center"/>
          </w:tcPr>
          <w:p w:rsidR="00B35F2F" w:rsidRPr="000D6E63" w:rsidRDefault="00B35F2F" w:rsidP="00ED16DC">
            <w:pPr>
              <w:spacing w:after="0"/>
              <w:rPr>
                <w:color w:val="000000"/>
                <w:sz w:val="20"/>
                <w:szCs w:val="20"/>
              </w:rPr>
            </w:pPr>
            <w:r w:rsidRPr="000D6E63">
              <w:rPr>
                <w:color w:val="000000"/>
                <w:sz w:val="20"/>
                <w:szCs w:val="20"/>
              </w:rPr>
              <w:t xml:space="preserve">Cook for 7-12 persons </w:t>
            </w:r>
            <w:r w:rsidRPr="000D6E63">
              <w:rPr>
                <w:color w:val="000000"/>
                <w:sz w:val="20"/>
                <w:szCs w:val="20"/>
                <w:vertAlign w:val="superscript"/>
              </w:rPr>
              <w:t>b</w:t>
            </w:r>
          </w:p>
        </w:tc>
        <w:tc>
          <w:tcPr>
            <w:tcW w:w="1245" w:type="dxa"/>
          </w:tcPr>
          <w:p w:rsidR="00B35F2F" w:rsidRDefault="00B35F2F" w:rsidP="00ED16DC">
            <w:pPr>
              <w:jc w:val="center"/>
            </w:pPr>
            <w:r w:rsidRPr="000D6E63">
              <w:rPr>
                <w:color w:val="000000"/>
                <w:sz w:val="20"/>
                <w:szCs w:val="20"/>
              </w:rPr>
              <w:t>...</w:t>
            </w:r>
          </w:p>
        </w:tc>
        <w:tc>
          <w:tcPr>
            <w:tcW w:w="1262" w:type="dxa"/>
          </w:tcPr>
          <w:p w:rsidR="00B35F2F" w:rsidRDefault="00B35F2F" w:rsidP="00ED16DC">
            <w:pPr>
              <w:jc w:val="center"/>
            </w:pPr>
            <w:r w:rsidRPr="000D6E63">
              <w:rPr>
                <w:color w:val="000000"/>
                <w:sz w:val="20"/>
                <w:szCs w:val="20"/>
              </w:rPr>
              <w:t>...</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0.16 (0.64)</w:t>
            </w:r>
          </w:p>
        </w:tc>
      </w:tr>
      <w:tr w:rsidR="00B35F2F" w:rsidRPr="000D6E63" w:rsidTr="00ED16DC">
        <w:trPr>
          <w:trHeight w:val="375"/>
        </w:trPr>
        <w:tc>
          <w:tcPr>
            <w:tcW w:w="5995" w:type="dxa"/>
            <w:vAlign w:val="center"/>
          </w:tcPr>
          <w:p w:rsidR="00B35F2F" w:rsidRPr="008C224F" w:rsidRDefault="00B35F2F" w:rsidP="00ED16DC">
            <w:pPr>
              <w:spacing w:after="0"/>
              <w:rPr>
                <w:color w:val="000000"/>
                <w:sz w:val="20"/>
                <w:szCs w:val="20"/>
              </w:rPr>
            </w:pPr>
            <w:r w:rsidRPr="008C224F">
              <w:rPr>
                <w:color w:val="000000"/>
                <w:sz w:val="20"/>
                <w:szCs w:val="20"/>
              </w:rPr>
              <w:t xml:space="preserve">Cook for 13 persons or more </w:t>
            </w:r>
            <w:r w:rsidRPr="008C224F">
              <w:rPr>
                <w:color w:val="000000"/>
                <w:sz w:val="20"/>
                <w:szCs w:val="20"/>
                <w:vertAlign w:val="superscript"/>
              </w:rPr>
              <w:t>b</w:t>
            </w:r>
          </w:p>
        </w:tc>
        <w:tc>
          <w:tcPr>
            <w:tcW w:w="1245" w:type="dxa"/>
          </w:tcPr>
          <w:p w:rsidR="00B35F2F" w:rsidRDefault="00B35F2F" w:rsidP="00ED16DC">
            <w:pPr>
              <w:jc w:val="center"/>
            </w:pPr>
            <w:r w:rsidRPr="000D6E63">
              <w:rPr>
                <w:color w:val="000000"/>
                <w:sz w:val="20"/>
                <w:szCs w:val="20"/>
              </w:rPr>
              <w:t>...</w:t>
            </w:r>
          </w:p>
        </w:tc>
        <w:tc>
          <w:tcPr>
            <w:tcW w:w="1262" w:type="dxa"/>
          </w:tcPr>
          <w:p w:rsidR="00B35F2F" w:rsidRDefault="00B35F2F" w:rsidP="00ED16DC">
            <w:pPr>
              <w:jc w:val="center"/>
            </w:pPr>
            <w:r w:rsidRPr="000D6E63">
              <w:rPr>
                <w:color w:val="000000"/>
                <w:sz w:val="20"/>
                <w:szCs w:val="20"/>
              </w:rPr>
              <w:t>...</w:t>
            </w:r>
          </w:p>
        </w:tc>
        <w:tc>
          <w:tcPr>
            <w:tcW w:w="1128" w:type="dxa"/>
            <w:vAlign w:val="center"/>
          </w:tcPr>
          <w:p w:rsidR="00B35F2F" w:rsidRPr="000D6E63" w:rsidRDefault="00B35F2F" w:rsidP="00ED16DC">
            <w:pPr>
              <w:spacing w:after="0"/>
              <w:jc w:val="center"/>
              <w:rPr>
                <w:color w:val="000000"/>
                <w:sz w:val="20"/>
                <w:szCs w:val="20"/>
              </w:rPr>
            </w:pPr>
            <w:r w:rsidRPr="000D6E63">
              <w:rPr>
                <w:color w:val="000000"/>
                <w:sz w:val="20"/>
                <w:szCs w:val="20"/>
              </w:rPr>
              <w:t>0.06 (0.61)</w:t>
            </w:r>
          </w:p>
        </w:tc>
      </w:tr>
      <w:tr w:rsidR="00B35F2F" w:rsidRPr="000D6E63" w:rsidTr="00ED16DC">
        <w:trPr>
          <w:trHeight w:val="609"/>
        </w:trPr>
        <w:tc>
          <w:tcPr>
            <w:tcW w:w="5995" w:type="dxa"/>
            <w:tcBorders>
              <w:bottom w:val="single" w:sz="4" w:space="0" w:color="auto"/>
            </w:tcBorders>
            <w:vAlign w:val="center"/>
          </w:tcPr>
          <w:p w:rsidR="00B35F2F" w:rsidRPr="000D6E63" w:rsidRDefault="00B35F2F" w:rsidP="00ED16DC">
            <w:pPr>
              <w:spacing w:after="0"/>
              <w:rPr>
                <w:color w:val="000000"/>
                <w:sz w:val="20"/>
                <w:szCs w:val="20"/>
              </w:rPr>
            </w:pPr>
            <w:r w:rsidRPr="000D6E63">
              <w:rPr>
                <w:color w:val="000000"/>
                <w:sz w:val="20"/>
                <w:szCs w:val="20"/>
              </w:rPr>
              <w:t>Constant</w:t>
            </w:r>
          </w:p>
        </w:tc>
        <w:tc>
          <w:tcPr>
            <w:tcW w:w="1245" w:type="dxa"/>
            <w:tcBorders>
              <w:bottom w:val="single" w:sz="4" w:space="0" w:color="auto"/>
            </w:tcBorders>
            <w:vAlign w:val="center"/>
          </w:tcPr>
          <w:p w:rsidR="00B35F2F" w:rsidRPr="000D6E63" w:rsidRDefault="00B35F2F" w:rsidP="00ED16DC">
            <w:pPr>
              <w:spacing w:after="0"/>
              <w:jc w:val="center"/>
              <w:rPr>
                <w:color w:val="000000"/>
                <w:sz w:val="20"/>
                <w:szCs w:val="20"/>
              </w:rPr>
            </w:pPr>
            <w:r w:rsidRPr="000D6E63">
              <w:rPr>
                <w:color w:val="000000"/>
                <w:sz w:val="20"/>
                <w:szCs w:val="20"/>
              </w:rPr>
              <w:t>12.12 (0.80)***</w:t>
            </w:r>
          </w:p>
        </w:tc>
        <w:tc>
          <w:tcPr>
            <w:tcW w:w="1262" w:type="dxa"/>
            <w:tcBorders>
              <w:bottom w:val="single" w:sz="4" w:space="0" w:color="auto"/>
            </w:tcBorders>
            <w:vAlign w:val="center"/>
          </w:tcPr>
          <w:p w:rsidR="00B35F2F" w:rsidRPr="000D6E63" w:rsidRDefault="00B35F2F" w:rsidP="00ED16DC">
            <w:pPr>
              <w:spacing w:after="0"/>
              <w:jc w:val="center"/>
              <w:rPr>
                <w:color w:val="000000"/>
                <w:sz w:val="20"/>
                <w:szCs w:val="20"/>
              </w:rPr>
            </w:pPr>
            <w:r w:rsidRPr="000D6E63">
              <w:rPr>
                <w:color w:val="000000"/>
                <w:sz w:val="20"/>
                <w:szCs w:val="20"/>
              </w:rPr>
              <w:t>6.29 (1.34)***</w:t>
            </w:r>
          </w:p>
        </w:tc>
        <w:tc>
          <w:tcPr>
            <w:tcW w:w="1128" w:type="dxa"/>
            <w:tcBorders>
              <w:bottom w:val="single" w:sz="4" w:space="0" w:color="auto"/>
            </w:tcBorders>
            <w:vAlign w:val="center"/>
          </w:tcPr>
          <w:p w:rsidR="00B35F2F" w:rsidRPr="000D6E63" w:rsidRDefault="00B35F2F" w:rsidP="00ED16DC">
            <w:pPr>
              <w:spacing w:after="0"/>
              <w:jc w:val="center"/>
              <w:rPr>
                <w:color w:val="000000"/>
                <w:sz w:val="20"/>
                <w:szCs w:val="20"/>
              </w:rPr>
            </w:pPr>
            <w:r w:rsidRPr="000D6E63">
              <w:rPr>
                <w:color w:val="000000"/>
                <w:sz w:val="20"/>
                <w:szCs w:val="20"/>
              </w:rPr>
              <w:t>13.91 (0.71)***</w:t>
            </w:r>
          </w:p>
        </w:tc>
      </w:tr>
      <w:tr w:rsidR="00B35F2F" w:rsidRPr="000D6E63" w:rsidTr="00ED16DC">
        <w:trPr>
          <w:trHeight w:val="331"/>
        </w:trPr>
        <w:tc>
          <w:tcPr>
            <w:tcW w:w="5995" w:type="dxa"/>
            <w:tcBorders>
              <w:top w:val="single" w:sz="4" w:space="0" w:color="auto"/>
            </w:tcBorders>
            <w:noWrap/>
            <w:vAlign w:val="bottom"/>
          </w:tcPr>
          <w:p w:rsidR="00B35F2F" w:rsidRPr="000D6E63" w:rsidRDefault="00B35F2F" w:rsidP="00ED16DC">
            <w:pPr>
              <w:spacing w:after="0"/>
              <w:jc w:val="right"/>
              <w:rPr>
                <w:color w:val="000000"/>
                <w:sz w:val="20"/>
                <w:szCs w:val="20"/>
              </w:rPr>
            </w:pPr>
            <w:r w:rsidRPr="000D6E63">
              <w:rPr>
                <w:color w:val="000000"/>
                <w:sz w:val="20"/>
                <w:szCs w:val="20"/>
              </w:rPr>
              <w:t>R</w:t>
            </w:r>
            <w:r w:rsidRPr="000D6E63">
              <w:rPr>
                <w:color w:val="000000"/>
                <w:sz w:val="20"/>
                <w:szCs w:val="20"/>
                <w:vertAlign w:val="superscript"/>
              </w:rPr>
              <w:t>2</w:t>
            </w:r>
          </w:p>
        </w:tc>
        <w:tc>
          <w:tcPr>
            <w:tcW w:w="1245" w:type="dxa"/>
            <w:tcBorders>
              <w:top w:val="single" w:sz="4" w:space="0" w:color="auto"/>
            </w:tcBorders>
            <w:noWrap/>
            <w:vAlign w:val="center"/>
          </w:tcPr>
          <w:p w:rsidR="00B35F2F" w:rsidRPr="000D6E63" w:rsidRDefault="00B35F2F" w:rsidP="00ED16DC">
            <w:pPr>
              <w:spacing w:after="0"/>
              <w:jc w:val="center"/>
              <w:rPr>
                <w:color w:val="000000"/>
                <w:sz w:val="20"/>
                <w:szCs w:val="20"/>
              </w:rPr>
            </w:pPr>
            <w:r w:rsidRPr="000D6E63">
              <w:rPr>
                <w:color w:val="000000"/>
                <w:sz w:val="20"/>
                <w:szCs w:val="20"/>
              </w:rPr>
              <w:t>0.291</w:t>
            </w:r>
          </w:p>
        </w:tc>
        <w:tc>
          <w:tcPr>
            <w:tcW w:w="1262" w:type="dxa"/>
            <w:tcBorders>
              <w:top w:val="single" w:sz="4" w:space="0" w:color="auto"/>
            </w:tcBorders>
            <w:noWrap/>
            <w:vAlign w:val="center"/>
          </w:tcPr>
          <w:p w:rsidR="00B35F2F" w:rsidRPr="000D6E63" w:rsidRDefault="00B35F2F" w:rsidP="00ED16DC">
            <w:pPr>
              <w:spacing w:after="0"/>
              <w:jc w:val="center"/>
              <w:rPr>
                <w:color w:val="000000"/>
                <w:sz w:val="20"/>
                <w:szCs w:val="20"/>
              </w:rPr>
            </w:pPr>
            <w:r w:rsidRPr="000D6E63">
              <w:rPr>
                <w:color w:val="000000"/>
                <w:sz w:val="20"/>
                <w:szCs w:val="20"/>
              </w:rPr>
              <w:t>0.343</w:t>
            </w:r>
          </w:p>
        </w:tc>
        <w:tc>
          <w:tcPr>
            <w:tcW w:w="1128" w:type="dxa"/>
            <w:tcBorders>
              <w:top w:val="single" w:sz="4" w:space="0" w:color="auto"/>
            </w:tcBorders>
            <w:noWrap/>
            <w:vAlign w:val="center"/>
          </w:tcPr>
          <w:p w:rsidR="00B35F2F" w:rsidRPr="000D6E63" w:rsidRDefault="00B35F2F" w:rsidP="00ED16DC">
            <w:pPr>
              <w:spacing w:after="0"/>
              <w:jc w:val="center"/>
              <w:rPr>
                <w:color w:val="000000"/>
                <w:sz w:val="20"/>
                <w:szCs w:val="20"/>
              </w:rPr>
            </w:pPr>
            <w:r w:rsidRPr="000D6E63">
              <w:rPr>
                <w:color w:val="000000"/>
                <w:sz w:val="20"/>
                <w:szCs w:val="20"/>
              </w:rPr>
              <w:t>0.283</w:t>
            </w:r>
          </w:p>
        </w:tc>
      </w:tr>
      <w:tr w:rsidR="00B35F2F" w:rsidRPr="000D6E63" w:rsidTr="00ED16DC">
        <w:trPr>
          <w:trHeight w:val="290"/>
        </w:trPr>
        <w:tc>
          <w:tcPr>
            <w:tcW w:w="5995" w:type="dxa"/>
            <w:tcBorders>
              <w:bottom w:val="single" w:sz="4" w:space="0" w:color="auto"/>
            </w:tcBorders>
            <w:noWrap/>
            <w:vAlign w:val="bottom"/>
          </w:tcPr>
          <w:p w:rsidR="00B35F2F" w:rsidRPr="000D6E63" w:rsidRDefault="00B35F2F" w:rsidP="00ED16DC">
            <w:pPr>
              <w:spacing w:after="0"/>
              <w:jc w:val="right"/>
              <w:rPr>
                <w:color w:val="000000"/>
                <w:sz w:val="20"/>
                <w:szCs w:val="20"/>
              </w:rPr>
            </w:pPr>
            <w:r w:rsidRPr="000D6E63">
              <w:rPr>
                <w:color w:val="000000"/>
                <w:sz w:val="20"/>
                <w:szCs w:val="20"/>
              </w:rPr>
              <w:t xml:space="preserve">Observations </w:t>
            </w:r>
          </w:p>
        </w:tc>
        <w:tc>
          <w:tcPr>
            <w:tcW w:w="1245" w:type="dxa"/>
            <w:tcBorders>
              <w:bottom w:val="single" w:sz="4" w:space="0" w:color="auto"/>
            </w:tcBorders>
            <w:noWrap/>
            <w:vAlign w:val="center"/>
          </w:tcPr>
          <w:p w:rsidR="00B35F2F" w:rsidRPr="000D6E63" w:rsidRDefault="00B35F2F" w:rsidP="00ED16DC">
            <w:pPr>
              <w:spacing w:after="0"/>
              <w:jc w:val="center"/>
              <w:rPr>
                <w:color w:val="000000"/>
                <w:sz w:val="20"/>
                <w:szCs w:val="20"/>
              </w:rPr>
            </w:pPr>
            <w:r w:rsidRPr="000D6E63">
              <w:rPr>
                <w:color w:val="000000"/>
                <w:sz w:val="20"/>
                <w:szCs w:val="20"/>
              </w:rPr>
              <w:t>659</w:t>
            </w:r>
          </w:p>
        </w:tc>
        <w:tc>
          <w:tcPr>
            <w:tcW w:w="1262" w:type="dxa"/>
            <w:tcBorders>
              <w:bottom w:val="single" w:sz="4" w:space="0" w:color="auto"/>
            </w:tcBorders>
            <w:noWrap/>
            <w:vAlign w:val="center"/>
          </w:tcPr>
          <w:p w:rsidR="00B35F2F" w:rsidRPr="000D6E63" w:rsidRDefault="00B35F2F" w:rsidP="00ED16DC">
            <w:pPr>
              <w:spacing w:after="0"/>
              <w:jc w:val="center"/>
              <w:rPr>
                <w:color w:val="000000"/>
                <w:sz w:val="20"/>
                <w:szCs w:val="20"/>
              </w:rPr>
            </w:pPr>
            <w:r w:rsidRPr="000D6E63">
              <w:rPr>
                <w:color w:val="000000"/>
                <w:sz w:val="20"/>
                <w:szCs w:val="20"/>
              </w:rPr>
              <w:t>659</w:t>
            </w:r>
          </w:p>
        </w:tc>
        <w:tc>
          <w:tcPr>
            <w:tcW w:w="1128" w:type="dxa"/>
            <w:tcBorders>
              <w:bottom w:val="single" w:sz="4" w:space="0" w:color="auto"/>
            </w:tcBorders>
            <w:noWrap/>
            <w:vAlign w:val="center"/>
          </w:tcPr>
          <w:p w:rsidR="00B35F2F" w:rsidRPr="000D6E63" w:rsidRDefault="00B35F2F" w:rsidP="00ED16DC">
            <w:pPr>
              <w:spacing w:after="0"/>
              <w:jc w:val="center"/>
              <w:rPr>
                <w:color w:val="000000"/>
                <w:sz w:val="20"/>
                <w:szCs w:val="20"/>
              </w:rPr>
            </w:pPr>
            <w:r w:rsidRPr="000D6E63">
              <w:rPr>
                <w:color w:val="000000"/>
                <w:sz w:val="20"/>
                <w:szCs w:val="20"/>
              </w:rPr>
              <w:t>677</w:t>
            </w:r>
          </w:p>
        </w:tc>
      </w:tr>
      <w:tr w:rsidR="00B35F2F" w:rsidRPr="008C224F" w:rsidTr="00ED16DC">
        <w:trPr>
          <w:trHeight w:val="553"/>
        </w:trPr>
        <w:tc>
          <w:tcPr>
            <w:tcW w:w="9630" w:type="dxa"/>
            <w:gridSpan w:val="4"/>
            <w:tcBorders>
              <w:top w:val="single" w:sz="4" w:space="0" w:color="auto"/>
            </w:tcBorders>
            <w:noWrap/>
            <w:vAlign w:val="bottom"/>
          </w:tcPr>
          <w:p w:rsidR="00B35F2F" w:rsidRPr="008C224F" w:rsidRDefault="00B35F2F" w:rsidP="00ED16DC">
            <w:pPr>
              <w:spacing w:after="0"/>
              <w:rPr>
                <w:color w:val="000000"/>
                <w:sz w:val="20"/>
                <w:szCs w:val="20"/>
              </w:rPr>
            </w:pPr>
            <w:r w:rsidRPr="008C224F">
              <w:rPr>
                <w:color w:val="000000"/>
                <w:sz w:val="20"/>
                <w:szCs w:val="20"/>
              </w:rPr>
              <w:t>Notes:  ~ p&lt;.10, * p&lt;0.05, ** p&lt;0.01, *** p&lt;0.001; Dependent variables are compressed to the 5</w:t>
            </w:r>
            <w:r w:rsidRPr="008C224F">
              <w:rPr>
                <w:color w:val="000000"/>
                <w:sz w:val="20"/>
                <w:szCs w:val="20"/>
                <w:vertAlign w:val="superscript"/>
              </w:rPr>
              <w:t>th</w:t>
            </w:r>
            <w:r w:rsidRPr="008C224F">
              <w:rPr>
                <w:color w:val="000000"/>
                <w:sz w:val="20"/>
                <w:szCs w:val="20"/>
              </w:rPr>
              <w:t xml:space="preserve"> and 95% percentiles and imputed when missing; Data is only for those who have completed the baseline survey. </w:t>
            </w:r>
          </w:p>
        </w:tc>
      </w:tr>
      <w:tr w:rsidR="00B35F2F" w:rsidRPr="008C224F" w:rsidTr="00ED16DC">
        <w:trPr>
          <w:trHeight w:val="1128"/>
        </w:trPr>
        <w:tc>
          <w:tcPr>
            <w:tcW w:w="9630" w:type="dxa"/>
            <w:gridSpan w:val="4"/>
            <w:vAlign w:val="bottom"/>
          </w:tcPr>
          <w:p w:rsidR="00B35F2F" w:rsidRPr="008C224F" w:rsidRDefault="00B35F2F" w:rsidP="00ED16DC">
            <w:pPr>
              <w:spacing w:after="0"/>
              <w:rPr>
                <w:color w:val="000000"/>
                <w:sz w:val="20"/>
                <w:szCs w:val="20"/>
              </w:rPr>
            </w:pPr>
            <w:r w:rsidRPr="008C224F">
              <w:rPr>
                <w:color w:val="000000"/>
                <w:sz w:val="20"/>
                <w:szCs w:val="20"/>
              </w:rPr>
              <w:t xml:space="preserve">a </w:t>
            </w:r>
            <w:r w:rsidRPr="000D6E63">
              <w:rPr>
                <w:color w:val="000000"/>
                <w:sz w:val="20"/>
                <w:szCs w:val="20"/>
              </w:rPr>
              <w:t>Other control variables included in Model 2 but not statistically significant and thus not shown include Baseline number of people for who whom women prepared lunch, Baseline number of people for whom women prepared lunch centered and squared; Baseline amount of money spent last week on wood and charcoal; Baseline kg. of flour and rice consumed per capita per week; terciles of low, medium, and high salary for women and their husbands</w:t>
            </w:r>
            <w:r>
              <w:rPr>
                <w:color w:val="000000"/>
                <w:sz w:val="20"/>
                <w:szCs w:val="20"/>
              </w:rPr>
              <w:t>.</w:t>
            </w:r>
          </w:p>
        </w:tc>
      </w:tr>
      <w:tr w:rsidR="00B35F2F" w:rsidRPr="008C224F" w:rsidTr="00ED16DC">
        <w:trPr>
          <w:trHeight w:val="251"/>
        </w:trPr>
        <w:tc>
          <w:tcPr>
            <w:tcW w:w="9630" w:type="dxa"/>
            <w:gridSpan w:val="4"/>
            <w:noWrap/>
            <w:vAlign w:val="bottom"/>
          </w:tcPr>
          <w:p w:rsidR="00B35F2F" w:rsidRPr="008C224F" w:rsidRDefault="00B35F2F" w:rsidP="00ED16DC">
            <w:pPr>
              <w:spacing w:after="0"/>
              <w:rPr>
                <w:color w:val="000000"/>
                <w:sz w:val="20"/>
                <w:szCs w:val="20"/>
              </w:rPr>
            </w:pPr>
            <w:r w:rsidRPr="008C224F">
              <w:rPr>
                <w:color w:val="000000"/>
                <w:sz w:val="20"/>
                <w:szCs w:val="20"/>
              </w:rPr>
              <w:t>b This explanatory variable comes from the baseline survey</w:t>
            </w:r>
          </w:p>
        </w:tc>
      </w:tr>
      <w:tr w:rsidR="00B35F2F" w:rsidRPr="008C224F" w:rsidTr="00DE26A2">
        <w:trPr>
          <w:trHeight w:val="70"/>
        </w:trPr>
        <w:tc>
          <w:tcPr>
            <w:tcW w:w="9630" w:type="dxa"/>
            <w:gridSpan w:val="4"/>
            <w:tcBorders>
              <w:bottom w:val="single" w:sz="4" w:space="0" w:color="auto"/>
            </w:tcBorders>
            <w:noWrap/>
            <w:vAlign w:val="bottom"/>
          </w:tcPr>
          <w:p w:rsidR="00B35F2F" w:rsidRPr="008C224F" w:rsidRDefault="00B35F2F" w:rsidP="00ED16DC">
            <w:pPr>
              <w:spacing w:after="0"/>
              <w:rPr>
                <w:color w:val="000000"/>
                <w:sz w:val="20"/>
                <w:szCs w:val="20"/>
              </w:rPr>
            </w:pPr>
            <w:r w:rsidRPr="008C224F">
              <w:rPr>
                <w:color w:val="000000"/>
                <w:sz w:val="20"/>
                <w:szCs w:val="20"/>
              </w:rPr>
              <w:t>c This explanatory variable comes from the Six Month Follow-up</w:t>
            </w:r>
          </w:p>
        </w:tc>
      </w:tr>
    </w:tbl>
    <w:p w:rsidR="00B35F2F" w:rsidRDefault="00B35F2F" w:rsidP="00DE26A2">
      <w:pPr>
        <w:ind w:firstLine="0"/>
      </w:pPr>
    </w:p>
    <w:tbl>
      <w:tblPr>
        <w:tblW w:w="10673" w:type="dxa"/>
        <w:jc w:val="center"/>
        <w:tblInd w:w="-214" w:type="dxa"/>
        <w:tblLayout w:type="fixed"/>
        <w:tblCellMar>
          <w:left w:w="70" w:type="dxa"/>
          <w:right w:w="70" w:type="dxa"/>
        </w:tblCellMar>
        <w:tblLook w:val="00A0"/>
      </w:tblPr>
      <w:tblGrid>
        <w:gridCol w:w="274"/>
        <w:gridCol w:w="2278"/>
        <w:gridCol w:w="1276"/>
        <w:gridCol w:w="1418"/>
        <w:gridCol w:w="590"/>
        <w:gridCol w:w="685"/>
        <w:gridCol w:w="1418"/>
        <w:gridCol w:w="1417"/>
        <w:gridCol w:w="1276"/>
        <w:gridCol w:w="41"/>
      </w:tblGrid>
      <w:tr w:rsidR="00B35F2F" w:rsidRPr="0050725C" w:rsidTr="00325D30">
        <w:trPr>
          <w:gridBefore w:val="1"/>
          <w:wBefore w:w="274" w:type="dxa"/>
          <w:trHeight w:val="70"/>
          <w:jc w:val="center"/>
        </w:trPr>
        <w:tc>
          <w:tcPr>
            <w:tcW w:w="10399" w:type="dxa"/>
            <w:gridSpan w:val="9"/>
            <w:tcBorders>
              <w:bottom w:val="single" w:sz="4" w:space="0" w:color="auto"/>
            </w:tcBorders>
            <w:noWrap/>
            <w:vAlign w:val="bottom"/>
          </w:tcPr>
          <w:p w:rsidR="00B35F2F" w:rsidRPr="0050725C" w:rsidRDefault="00B35F2F" w:rsidP="00DD3987">
            <w:pPr>
              <w:spacing w:after="0"/>
              <w:ind w:firstLine="0"/>
              <w:rPr>
                <w:color w:val="000000"/>
                <w:sz w:val="20"/>
                <w:szCs w:val="20"/>
              </w:rPr>
            </w:pPr>
          </w:p>
        </w:tc>
      </w:tr>
      <w:tr w:rsidR="00B35F2F" w:rsidRPr="0050725C" w:rsidTr="00325D30">
        <w:trPr>
          <w:gridAfter w:val="1"/>
          <w:wAfter w:w="41" w:type="dxa"/>
          <w:trHeight w:val="315"/>
          <w:jc w:val="center"/>
        </w:trPr>
        <w:tc>
          <w:tcPr>
            <w:tcW w:w="10632" w:type="dxa"/>
            <w:gridSpan w:val="9"/>
            <w:tcBorders>
              <w:top w:val="nil"/>
              <w:left w:val="nil"/>
              <w:right w:val="nil"/>
            </w:tcBorders>
            <w:shd w:val="clear" w:color="000000" w:fill="C0C0C0"/>
          </w:tcPr>
          <w:p w:rsidR="00B35F2F" w:rsidRPr="0050725C" w:rsidRDefault="00B35F2F" w:rsidP="00AA1DD5">
            <w:pPr>
              <w:spacing w:after="0"/>
              <w:jc w:val="center"/>
              <w:rPr>
                <w:b/>
                <w:bCs/>
                <w:color w:val="000000"/>
                <w:sz w:val="20"/>
                <w:szCs w:val="20"/>
              </w:rPr>
            </w:pPr>
            <w:r w:rsidRPr="0050725C">
              <w:rPr>
                <w:b/>
                <w:bCs/>
                <w:color w:val="000000"/>
                <w:sz w:val="20"/>
                <w:szCs w:val="20"/>
              </w:rPr>
              <w:t xml:space="preserve">Table 4: Regression Results </w:t>
            </w:r>
          </w:p>
          <w:p w:rsidR="00B35F2F" w:rsidRPr="0050725C" w:rsidRDefault="00B35F2F" w:rsidP="00AA1DD5">
            <w:pPr>
              <w:spacing w:after="0"/>
              <w:jc w:val="center"/>
              <w:rPr>
                <w:color w:val="000000"/>
                <w:sz w:val="20"/>
                <w:szCs w:val="20"/>
              </w:rPr>
            </w:pPr>
            <w:r w:rsidRPr="0050725C">
              <w:rPr>
                <w:color w:val="000000"/>
                <w:sz w:val="20"/>
                <w:szCs w:val="20"/>
              </w:rPr>
              <w:t>Coefficient (standard error)</w:t>
            </w:r>
          </w:p>
        </w:tc>
      </w:tr>
      <w:tr w:rsidR="00B35F2F" w:rsidRPr="0050725C" w:rsidTr="00325D30">
        <w:trPr>
          <w:gridAfter w:val="1"/>
          <w:wAfter w:w="41" w:type="dxa"/>
          <w:trHeight w:val="300"/>
          <w:jc w:val="center"/>
        </w:trPr>
        <w:tc>
          <w:tcPr>
            <w:tcW w:w="2552" w:type="dxa"/>
            <w:gridSpan w:val="2"/>
            <w:tcBorders>
              <w:left w:val="nil"/>
              <w:bottom w:val="single" w:sz="4" w:space="0" w:color="auto"/>
            </w:tcBorders>
          </w:tcPr>
          <w:p w:rsidR="00B35F2F" w:rsidRPr="0050725C" w:rsidRDefault="00B35F2F" w:rsidP="00AA1DD5">
            <w:pPr>
              <w:spacing w:after="0"/>
              <w:jc w:val="center"/>
              <w:rPr>
                <w:color w:val="000000"/>
                <w:sz w:val="20"/>
                <w:szCs w:val="20"/>
              </w:rPr>
            </w:pPr>
          </w:p>
        </w:tc>
        <w:tc>
          <w:tcPr>
            <w:tcW w:w="1276" w:type="dxa"/>
            <w:tcBorders>
              <w:bottom w:val="single" w:sz="4" w:space="0" w:color="auto"/>
            </w:tcBorders>
            <w:vAlign w:val="center"/>
          </w:tcPr>
          <w:p w:rsidR="00B35F2F" w:rsidRPr="0050725C" w:rsidRDefault="00B35F2F" w:rsidP="00AA1DD5">
            <w:pPr>
              <w:spacing w:after="0"/>
              <w:jc w:val="center"/>
              <w:rPr>
                <w:color w:val="000000"/>
                <w:sz w:val="20"/>
                <w:szCs w:val="20"/>
              </w:rPr>
            </w:pPr>
            <w:r w:rsidRPr="0050725C">
              <w:rPr>
                <w:color w:val="000000"/>
                <w:sz w:val="20"/>
                <w:szCs w:val="20"/>
              </w:rPr>
              <w:t>1</w:t>
            </w:r>
          </w:p>
        </w:tc>
        <w:tc>
          <w:tcPr>
            <w:tcW w:w="1418" w:type="dxa"/>
            <w:tcBorders>
              <w:bottom w:val="single" w:sz="4" w:space="0" w:color="auto"/>
            </w:tcBorders>
            <w:vAlign w:val="center"/>
          </w:tcPr>
          <w:p w:rsidR="00B35F2F" w:rsidRPr="0050725C" w:rsidRDefault="00B35F2F" w:rsidP="00AA1DD5">
            <w:pPr>
              <w:spacing w:after="0"/>
              <w:jc w:val="center"/>
              <w:rPr>
                <w:color w:val="000000"/>
                <w:sz w:val="20"/>
                <w:szCs w:val="20"/>
              </w:rPr>
            </w:pPr>
            <w:r w:rsidRPr="0050725C">
              <w:rPr>
                <w:color w:val="000000"/>
                <w:sz w:val="20"/>
                <w:szCs w:val="20"/>
              </w:rPr>
              <w:t>2</w:t>
            </w:r>
          </w:p>
        </w:tc>
        <w:tc>
          <w:tcPr>
            <w:tcW w:w="1275" w:type="dxa"/>
            <w:gridSpan w:val="2"/>
            <w:tcBorders>
              <w:bottom w:val="single" w:sz="4" w:space="0" w:color="auto"/>
            </w:tcBorders>
            <w:vAlign w:val="center"/>
          </w:tcPr>
          <w:p w:rsidR="00B35F2F" w:rsidRPr="0050725C" w:rsidRDefault="00B35F2F" w:rsidP="00AA1DD5">
            <w:pPr>
              <w:spacing w:after="0"/>
              <w:jc w:val="center"/>
              <w:rPr>
                <w:color w:val="000000"/>
                <w:sz w:val="20"/>
                <w:szCs w:val="20"/>
              </w:rPr>
            </w:pPr>
            <w:r w:rsidRPr="0050725C">
              <w:rPr>
                <w:color w:val="000000"/>
                <w:sz w:val="20"/>
                <w:szCs w:val="20"/>
              </w:rPr>
              <w:t>3</w:t>
            </w:r>
          </w:p>
        </w:tc>
        <w:tc>
          <w:tcPr>
            <w:tcW w:w="1418" w:type="dxa"/>
            <w:tcBorders>
              <w:bottom w:val="single" w:sz="4" w:space="0" w:color="auto"/>
            </w:tcBorders>
            <w:shd w:val="clear" w:color="000000" w:fill="FFFFFF"/>
            <w:vAlign w:val="center"/>
          </w:tcPr>
          <w:p w:rsidR="00B35F2F" w:rsidRPr="0050725C" w:rsidRDefault="00B35F2F" w:rsidP="00AA1DD5">
            <w:pPr>
              <w:spacing w:after="0"/>
              <w:jc w:val="center"/>
              <w:rPr>
                <w:color w:val="000000"/>
                <w:sz w:val="20"/>
                <w:szCs w:val="20"/>
              </w:rPr>
            </w:pPr>
            <w:r w:rsidRPr="0050725C">
              <w:rPr>
                <w:color w:val="000000"/>
                <w:sz w:val="20"/>
                <w:szCs w:val="20"/>
              </w:rPr>
              <w:t>4</w:t>
            </w:r>
          </w:p>
        </w:tc>
        <w:tc>
          <w:tcPr>
            <w:tcW w:w="1417" w:type="dxa"/>
            <w:tcBorders>
              <w:bottom w:val="single" w:sz="4" w:space="0" w:color="auto"/>
            </w:tcBorders>
            <w:shd w:val="clear" w:color="000000" w:fill="FFFFFF"/>
            <w:vAlign w:val="center"/>
          </w:tcPr>
          <w:p w:rsidR="00B35F2F" w:rsidRPr="0050725C" w:rsidRDefault="00B35F2F" w:rsidP="0050725C">
            <w:pPr>
              <w:spacing w:after="0"/>
              <w:rPr>
                <w:color w:val="000000"/>
                <w:sz w:val="20"/>
                <w:szCs w:val="20"/>
              </w:rPr>
            </w:pPr>
            <w:r w:rsidRPr="0050725C">
              <w:rPr>
                <w:color w:val="000000"/>
                <w:sz w:val="20"/>
                <w:szCs w:val="20"/>
              </w:rPr>
              <w:t>5</w:t>
            </w:r>
          </w:p>
        </w:tc>
        <w:tc>
          <w:tcPr>
            <w:tcW w:w="1276" w:type="dxa"/>
            <w:tcBorders>
              <w:bottom w:val="single" w:sz="4" w:space="0" w:color="auto"/>
            </w:tcBorders>
            <w:vAlign w:val="center"/>
          </w:tcPr>
          <w:p w:rsidR="00B35F2F" w:rsidRPr="0050725C" w:rsidRDefault="00B35F2F" w:rsidP="0050725C">
            <w:pPr>
              <w:spacing w:after="0"/>
              <w:ind w:firstLine="0"/>
              <w:rPr>
                <w:color w:val="000000"/>
                <w:sz w:val="20"/>
                <w:szCs w:val="20"/>
              </w:rPr>
            </w:pPr>
            <w:r>
              <w:rPr>
                <w:color w:val="000000"/>
                <w:sz w:val="20"/>
                <w:szCs w:val="20"/>
              </w:rPr>
              <w:t xml:space="preserve">   </w:t>
            </w:r>
            <w:r w:rsidRPr="0050725C">
              <w:rPr>
                <w:color w:val="000000"/>
                <w:sz w:val="20"/>
                <w:szCs w:val="20"/>
              </w:rPr>
              <w:t>6</w:t>
            </w:r>
          </w:p>
        </w:tc>
      </w:tr>
      <w:tr w:rsidR="00B35F2F" w:rsidRPr="0050725C" w:rsidTr="00325D30">
        <w:trPr>
          <w:gridAfter w:val="1"/>
          <w:wAfter w:w="41" w:type="dxa"/>
          <w:trHeight w:val="1122"/>
          <w:jc w:val="center"/>
        </w:trPr>
        <w:tc>
          <w:tcPr>
            <w:tcW w:w="2552" w:type="dxa"/>
            <w:gridSpan w:val="2"/>
            <w:tcBorders>
              <w:top w:val="single" w:sz="4" w:space="0" w:color="auto"/>
              <w:left w:val="nil"/>
            </w:tcBorders>
          </w:tcPr>
          <w:p w:rsidR="00B35F2F" w:rsidRPr="0050725C" w:rsidRDefault="00B35F2F" w:rsidP="0050725C">
            <w:pPr>
              <w:pStyle w:val="NoSpacing"/>
              <w:rPr>
                <w:sz w:val="20"/>
                <w:szCs w:val="20"/>
              </w:rPr>
            </w:pPr>
            <w:r w:rsidRPr="0050725C">
              <w:rPr>
                <w:sz w:val="20"/>
                <w:szCs w:val="20"/>
              </w:rPr>
              <w:t> </w:t>
            </w:r>
          </w:p>
        </w:tc>
        <w:tc>
          <w:tcPr>
            <w:tcW w:w="1276" w:type="dxa"/>
            <w:tcBorders>
              <w:top w:val="single" w:sz="4" w:space="0" w:color="auto"/>
            </w:tcBorders>
            <w:vAlign w:val="bottom"/>
          </w:tcPr>
          <w:p w:rsidR="00B35F2F" w:rsidRPr="0050725C" w:rsidRDefault="00B35F2F" w:rsidP="0050725C">
            <w:pPr>
              <w:pStyle w:val="NoSpacing"/>
              <w:rPr>
                <w:sz w:val="20"/>
                <w:szCs w:val="20"/>
              </w:rPr>
            </w:pPr>
            <w:r w:rsidRPr="0050725C">
              <w:rPr>
                <w:sz w:val="20"/>
                <w:szCs w:val="20"/>
              </w:rPr>
              <w:t>Min. /day by cookfire</w:t>
            </w:r>
          </w:p>
        </w:tc>
        <w:tc>
          <w:tcPr>
            <w:tcW w:w="1418" w:type="dxa"/>
            <w:tcBorders>
              <w:top w:val="single" w:sz="4" w:space="0" w:color="auto"/>
            </w:tcBorders>
            <w:vAlign w:val="bottom"/>
          </w:tcPr>
          <w:p w:rsidR="00B35F2F" w:rsidRPr="0050725C" w:rsidRDefault="00B35F2F" w:rsidP="0050725C">
            <w:pPr>
              <w:pStyle w:val="NoSpacing"/>
              <w:rPr>
                <w:sz w:val="20"/>
                <w:szCs w:val="20"/>
              </w:rPr>
            </w:pPr>
            <w:r w:rsidRPr="0050725C">
              <w:rPr>
                <w:sz w:val="20"/>
                <w:szCs w:val="20"/>
              </w:rPr>
              <w:t xml:space="preserve">Min. / week household gathers fuel </w:t>
            </w:r>
            <w:r w:rsidRPr="0050725C">
              <w:rPr>
                <w:sz w:val="20"/>
                <w:szCs w:val="20"/>
                <w:vertAlign w:val="superscript"/>
              </w:rPr>
              <w:t>2,4</w:t>
            </w:r>
          </w:p>
        </w:tc>
        <w:tc>
          <w:tcPr>
            <w:tcW w:w="1275" w:type="dxa"/>
            <w:gridSpan w:val="2"/>
            <w:tcBorders>
              <w:top w:val="single" w:sz="4" w:space="0" w:color="auto"/>
            </w:tcBorders>
            <w:vAlign w:val="bottom"/>
          </w:tcPr>
          <w:p w:rsidR="00B35F2F" w:rsidRPr="0050725C" w:rsidRDefault="00B35F2F" w:rsidP="0050725C">
            <w:pPr>
              <w:pStyle w:val="NoSpacing"/>
              <w:rPr>
                <w:sz w:val="20"/>
                <w:szCs w:val="20"/>
              </w:rPr>
            </w:pPr>
            <w:r w:rsidRPr="0050725C">
              <w:rPr>
                <w:sz w:val="20"/>
                <w:szCs w:val="20"/>
              </w:rPr>
              <w:t>Exposure to Carbon Monoxide (ppm/ hour)</w:t>
            </w:r>
          </w:p>
        </w:tc>
        <w:tc>
          <w:tcPr>
            <w:tcW w:w="1418" w:type="dxa"/>
            <w:tcBorders>
              <w:top w:val="single" w:sz="4" w:space="0" w:color="auto"/>
            </w:tcBorders>
            <w:shd w:val="clear" w:color="000000" w:fill="FFFFFF"/>
            <w:vAlign w:val="bottom"/>
          </w:tcPr>
          <w:p w:rsidR="00B35F2F" w:rsidRPr="0050725C" w:rsidRDefault="00B35F2F" w:rsidP="0050725C">
            <w:pPr>
              <w:pStyle w:val="NoSpacing"/>
              <w:rPr>
                <w:sz w:val="20"/>
                <w:szCs w:val="20"/>
              </w:rPr>
            </w:pPr>
            <w:r w:rsidRPr="0050725C">
              <w:rPr>
                <w:sz w:val="20"/>
                <w:szCs w:val="20"/>
              </w:rPr>
              <w:t xml:space="preserve">Own symptoms associated with cooking </w:t>
            </w:r>
          </w:p>
          <w:p w:rsidR="00B35F2F" w:rsidRPr="0050725C" w:rsidRDefault="00B35F2F" w:rsidP="0050725C">
            <w:pPr>
              <w:pStyle w:val="NoSpacing"/>
              <w:rPr>
                <w:sz w:val="20"/>
                <w:szCs w:val="20"/>
              </w:rPr>
            </w:pPr>
            <w:r w:rsidRPr="0050725C">
              <w:rPr>
                <w:sz w:val="20"/>
                <w:szCs w:val="20"/>
              </w:rPr>
              <w:t>(0-4)</w:t>
            </w:r>
          </w:p>
        </w:tc>
        <w:tc>
          <w:tcPr>
            <w:tcW w:w="1417" w:type="dxa"/>
            <w:tcBorders>
              <w:top w:val="single" w:sz="4" w:space="0" w:color="auto"/>
            </w:tcBorders>
            <w:shd w:val="clear" w:color="000000" w:fill="FFFFFF"/>
            <w:vAlign w:val="bottom"/>
          </w:tcPr>
          <w:p w:rsidR="00B35F2F" w:rsidRPr="0050725C" w:rsidRDefault="00B35F2F" w:rsidP="0050725C">
            <w:pPr>
              <w:pStyle w:val="NoSpacing"/>
              <w:rPr>
                <w:sz w:val="20"/>
                <w:szCs w:val="20"/>
              </w:rPr>
            </w:pPr>
            <w:r w:rsidRPr="0050725C">
              <w:rPr>
                <w:sz w:val="20"/>
                <w:szCs w:val="20"/>
              </w:rPr>
              <w:t>Own respiratory symptoms (0-7)</w:t>
            </w:r>
          </w:p>
        </w:tc>
        <w:tc>
          <w:tcPr>
            <w:tcW w:w="1276" w:type="dxa"/>
            <w:tcBorders>
              <w:top w:val="single" w:sz="4" w:space="0" w:color="auto"/>
            </w:tcBorders>
            <w:vAlign w:val="bottom"/>
          </w:tcPr>
          <w:p w:rsidR="00B35F2F" w:rsidRDefault="00B35F2F" w:rsidP="0050725C">
            <w:pPr>
              <w:pStyle w:val="NoSpacing"/>
              <w:rPr>
                <w:sz w:val="20"/>
                <w:szCs w:val="20"/>
              </w:rPr>
            </w:pPr>
            <w:r w:rsidRPr="0050725C">
              <w:rPr>
                <w:sz w:val="20"/>
                <w:szCs w:val="20"/>
              </w:rPr>
              <w:t xml:space="preserve">Child respiratory symptoms </w:t>
            </w:r>
          </w:p>
          <w:p w:rsidR="00B35F2F" w:rsidRPr="0050725C" w:rsidRDefault="00B35F2F" w:rsidP="0050725C">
            <w:pPr>
              <w:pStyle w:val="NoSpacing"/>
              <w:rPr>
                <w:sz w:val="20"/>
                <w:szCs w:val="20"/>
              </w:rPr>
            </w:pPr>
            <w:r w:rsidRPr="0050725C">
              <w:rPr>
                <w:sz w:val="20"/>
                <w:szCs w:val="20"/>
              </w:rPr>
              <w:t>(0-4)</w:t>
            </w:r>
            <w:r w:rsidRPr="0050725C">
              <w:rPr>
                <w:sz w:val="20"/>
                <w:szCs w:val="20"/>
                <w:vertAlign w:val="superscript"/>
              </w:rPr>
              <w:t>5</w:t>
            </w:r>
          </w:p>
        </w:tc>
      </w:tr>
      <w:tr w:rsidR="00B35F2F" w:rsidRPr="0050725C" w:rsidTr="00325D30">
        <w:trPr>
          <w:gridAfter w:val="1"/>
          <w:wAfter w:w="41" w:type="dxa"/>
          <w:trHeight w:val="730"/>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Cook for 6 persons or less *Treatment indicator </w:t>
            </w:r>
            <w:r w:rsidRPr="0050725C">
              <w:rPr>
                <w:sz w:val="20"/>
                <w:szCs w:val="20"/>
                <w:vertAlign w:val="superscript"/>
              </w:rPr>
              <w:t>b</w:t>
            </w:r>
          </w:p>
        </w:tc>
        <w:tc>
          <w:tcPr>
            <w:tcW w:w="1276" w:type="dxa"/>
            <w:vAlign w:val="center"/>
          </w:tcPr>
          <w:p w:rsidR="00B35F2F" w:rsidRPr="0050725C" w:rsidRDefault="00B35F2F" w:rsidP="0050725C">
            <w:pPr>
              <w:pStyle w:val="NoSpacing"/>
              <w:rPr>
                <w:sz w:val="20"/>
                <w:szCs w:val="20"/>
              </w:rPr>
            </w:pPr>
            <w:r w:rsidRPr="0050725C">
              <w:rPr>
                <w:sz w:val="20"/>
                <w:szCs w:val="20"/>
              </w:rPr>
              <w:t>18.26</w:t>
            </w:r>
          </w:p>
          <w:p w:rsidR="00B35F2F" w:rsidRPr="0050725C" w:rsidRDefault="00B35F2F" w:rsidP="0050725C">
            <w:pPr>
              <w:pStyle w:val="NoSpacing"/>
              <w:rPr>
                <w:sz w:val="20"/>
                <w:szCs w:val="20"/>
              </w:rPr>
            </w:pPr>
            <w:r w:rsidRPr="0050725C">
              <w:rPr>
                <w:sz w:val="20"/>
                <w:szCs w:val="20"/>
              </w:rPr>
              <w:t>(19.74)</w:t>
            </w:r>
          </w:p>
        </w:tc>
        <w:tc>
          <w:tcPr>
            <w:tcW w:w="1418" w:type="dxa"/>
            <w:vAlign w:val="center"/>
          </w:tcPr>
          <w:p w:rsidR="00B35F2F" w:rsidRPr="0050725C" w:rsidRDefault="00B35F2F" w:rsidP="0050725C">
            <w:pPr>
              <w:pStyle w:val="NoSpacing"/>
              <w:rPr>
                <w:sz w:val="20"/>
                <w:szCs w:val="20"/>
              </w:rPr>
            </w:pPr>
            <w:r w:rsidRPr="0050725C">
              <w:rPr>
                <w:sz w:val="20"/>
                <w:szCs w:val="20"/>
              </w:rPr>
              <w:t>-77.17                                 (84.64)</w:t>
            </w:r>
          </w:p>
        </w:tc>
        <w:tc>
          <w:tcPr>
            <w:tcW w:w="1275" w:type="dxa"/>
            <w:gridSpan w:val="2"/>
            <w:vAlign w:val="center"/>
          </w:tcPr>
          <w:p w:rsidR="00B35F2F" w:rsidRPr="0050725C" w:rsidRDefault="00B35F2F" w:rsidP="0050725C">
            <w:pPr>
              <w:pStyle w:val="NoSpacing"/>
              <w:rPr>
                <w:sz w:val="20"/>
                <w:szCs w:val="20"/>
              </w:rPr>
            </w:pPr>
            <w:r w:rsidRPr="0050725C">
              <w:rPr>
                <w:sz w:val="20"/>
                <w:szCs w:val="20"/>
              </w:rPr>
              <w:t>6.53</w:t>
            </w:r>
          </w:p>
          <w:p w:rsidR="00B35F2F" w:rsidRPr="0050725C" w:rsidRDefault="00B35F2F" w:rsidP="0050725C">
            <w:pPr>
              <w:pStyle w:val="NoSpacing"/>
              <w:rPr>
                <w:sz w:val="20"/>
                <w:szCs w:val="20"/>
              </w:rPr>
            </w:pPr>
            <w:r w:rsidRPr="0050725C">
              <w:rPr>
                <w:sz w:val="20"/>
                <w:szCs w:val="20"/>
              </w:rPr>
              <w:t>(2.64)*</w:t>
            </w:r>
          </w:p>
        </w:tc>
        <w:tc>
          <w:tcPr>
            <w:tcW w:w="1418" w:type="dxa"/>
            <w:shd w:val="clear" w:color="000000" w:fill="FFFFFF"/>
            <w:vAlign w:val="center"/>
          </w:tcPr>
          <w:p w:rsidR="00B35F2F" w:rsidRDefault="00B35F2F" w:rsidP="0050725C">
            <w:pPr>
              <w:pStyle w:val="NoSpacing"/>
              <w:rPr>
                <w:sz w:val="20"/>
                <w:szCs w:val="20"/>
              </w:rPr>
            </w:pPr>
            <w:r>
              <w:rPr>
                <w:sz w:val="20"/>
                <w:szCs w:val="20"/>
              </w:rPr>
              <w:t>0.25</w:t>
            </w:r>
          </w:p>
          <w:p w:rsidR="00B35F2F" w:rsidRPr="0050725C" w:rsidRDefault="00B35F2F" w:rsidP="0050725C">
            <w:pPr>
              <w:pStyle w:val="NoSpacing"/>
              <w:rPr>
                <w:sz w:val="20"/>
                <w:szCs w:val="20"/>
              </w:rPr>
            </w:pPr>
            <w:r w:rsidRPr="0050725C">
              <w:rPr>
                <w:sz w:val="20"/>
                <w:szCs w:val="20"/>
              </w:rPr>
              <w:t xml:space="preserve"> (0.27)</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0.15</w:t>
            </w:r>
          </w:p>
          <w:p w:rsidR="00B35F2F" w:rsidRPr="0050725C" w:rsidRDefault="00B35F2F" w:rsidP="0050725C">
            <w:pPr>
              <w:pStyle w:val="NoSpacing"/>
              <w:rPr>
                <w:sz w:val="20"/>
                <w:szCs w:val="20"/>
              </w:rPr>
            </w:pPr>
            <w:r w:rsidRPr="0050725C">
              <w:rPr>
                <w:sz w:val="20"/>
                <w:szCs w:val="20"/>
              </w:rPr>
              <w:t>(0.46)</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-0.07 </w:t>
            </w:r>
            <w:r w:rsidRPr="0050725C">
              <w:rPr>
                <w:sz w:val="20"/>
                <w:szCs w:val="20"/>
              </w:rPr>
              <w:br/>
            </w:r>
            <w:r>
              <w:rPr>
                <w:sz w:val="20"/>
                <w:szCs w:val="20"/>
              </w:rPr>
              <w:t xml:space="preserve"> </w:t>
            </w:r>
            <w:r w:rsidRPr="0050725C">
              <w:rPr>
                <w:sz w:val="20"/>
                <w:szCs w:val="20"/>
              </w:rPr>
              <w:t>(0.16)</w:t>
            </w:r>
          </w:p>
        </w:tc>
      </w:tr>
      <w:tr w:rsidR="00B35F2F" w:rsidRPr="0050725C" w:rsidTr="00325D30">
        <w:trPr>
          <w:gridAfter w:val="1"/>
          <w:wAfter w:w="41" w:type="dxa"/>
          <w:trHeight w:val="557"/>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Cook for 7-12 persons *Treatment indicator </w:t>
            </w:r>
            <w:r w:rsidRPr="0050725C">
              <w:rPr>
                <w:sz w:val="20"/>
                <w:szCs w:val="20"/>
                <w:vertAlign w:val="superscript"/>
              </w:rPr>
              <w:t>b</w:t>
            </w:r>
          </w:p>
        </w:tc>
        <w:tc>
          <w:tcPr>
            <w:tcW w:w="1276" w:type="dxa"/>
            <w:vAlign w:val="center"/>
          </w:tcPr>
          <w:p w:rsidR="00B35F2F" w:rsidRPr="0050725C" w:rsidRDefault="00B35F2F" w:rsidP="0050725C">
            <w:pPr>
              <w:pStyle w:val="NoSpacing"/>
              <w:rPr>
                <w:sz w:val="20"/>
                <w:szCs w:val="20"/>
              </w:rPr>
            </w:pPr>
            <w:r w:rsidRPr="0050725C">
              <w:rPr>
                <w:sz w:val="20"/>
                <w:szCs w:val="20"/>
              </w:rPr>
              <w:t>-16.15</w:t>
            </w:r>
          </w:p>
          <w:p w:rsidR="00B35F2F" w:rsidRPr="0050725C" w:rsidRDefault="00B35F2F" w:rsidP="0050725C">
            <w:pPr>
              <w:pStyle w:val="NoSpacing"/>
              <w:rPr>
                <w:sz w:val="20"/>
                <w:szCs w:val="20"/>
              </w:rPr>
            </w:pPr>
            <w:r w:rsidRPr="0050725C">
              <w:rPr>
                <w:sz w:val="20"/>
                <w:szCs w:val="20"/>
              </w:rPr>
              <w:t>(13.51)</w:t>
            </w:r>
          </w:p>
        </w:tc>
        <w:tc>
          <w:tcPr>
            <w:tcW w:w="1418" w:type="dxa"/>
            <w:vAlign w:val="center"/>
          </w:tcPr>
          <w:p w:rsidR="00B35F2F" w:rsidRPr="0050725C" w:rsidRDefault="00B35F2F" w:rsidP="0050725C">
            <w:pPr>
              <w:pStyle w:val="NoSpacing"/>
              <w:rPr>
                <w:sz w:val="20"/>
                <w:szCs w:val="20"/>
              </w:rPr>
            </w:pPr>
            <w:r w:rsidRPr="0050725C">
              <w:rPr>
                <w:sz w:val="20"/>
                <w:szCs w:val="20"/>
              </w:rPr>
              <w:t>39.98</w:t>
            </w:r>
          </w:p>
          <w:p w:rsidR="00B35F2F" w:rsidRPr="0050725C" w:rsidRDefault="00B35F2F" w:rsidP="0050725C">
            <w:pPr>
              <w:pStyle w:val="NoSpacing"/>
              <w:rPr>
                <w:sz w:val="20"/>
                <w:szCs w:val="20"/>
              </w:rPr>
            </w:pPr>
            <w:r w:rsidRPr="0050725C">
              <w:rPr>
                <w:sz w:val="20"/>
                <w:szCs w:val="20"/>
              </w:rPr>
              <w:t>(57.93)</w:t>
            </w:r>
          </w:p>
        </w:tc>
        <w:tc>
          <w:tcPr>
            <w:tcW w:w="1275" w:type="dxa"/>
            <w:gridSpan w:val="2"/>
            <w:vAlign w:val="center"/>
          </w:tcPr>
          <w:p w:rsidR="00B35F2F" w:rsidRPr="0050725C" w:rsidRDefault="00B35F2F" w:rsidP="0050725C">
            <w:pPr>
              <w:pStyle w:val="NoSpacing"/>
              <w:rPr>
                <w:sz w:val="20"/>
                <w:szCs w:val="20"/>
              </w:rPr>
            </w:pPr>
            <w:r w:rsidRPr="0050725C">
              <w:rPr>
                <w:sz w:val="20"/>
                <w:szCs w:val="20"/>
              </w:rPr>
              <w:t>0.33</w:t>
            </w:r>
          </w:p>
          <w:p w:rsidR="00B35F2F" w:rsidRPr="0050725C" w:rsidRDefault="00B35F2F" w:rsidP="0050725C">
            <w:pPr>
              <w:pStyle w:val="NoSpacing"/>
              <w:rPr>
                <w:sz w:val="20"/>
                <w:szCs w:val="20"/>
              </w:rPr>
            </w:pPr>
            <w:r w:rsidRPr="0050725C">
              <w:rPr>
                <w:sz w:val="20"/>
                <w:szCs w:val="20"/>
              </w:rPr>
              <w:t>(1.78)</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-0.17</w:t>
            </w:r>
          </w:p>
          <w:p w:rsidR="00B35F2F" w:rsidRPr="0050725C" w:rsidRDefault="00B35F2F" w:rsidP="0050725C">
            <w:pPr>
              <w:pStyle w:val="NoSpacing"/>
              <w:rPr>
                <w:sz w:val="20"/>
                <w:szCs w:val="20"/>
              </w:rPr>
            </w:pPr>
            <w:r w:rsidRPr="0050725C">
              <w:rPr>
                <w:sz w:val="20"/>
                <w:szCs w:val="20"/>
              </w:rPr>
              <w:t>(0.18)</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0.11</w:t>
            </w:r>
          </w:p>
          <w:p w:rsidR="00B35F2F" w:rsidRPr="0050725C" w:rsidRDefault="00B35F2F" w:rsidP="0050725C">
            <w:pPr>
              <w:pStyle w:val="NoSpacing"/>
              <w:rPr>
                <w:sz w:val="20"/>
                <w:szCs w:val="20"/>
              </w:rPr>
            </w:pPr>
            <w:r w:rsidRPr="0050725C">
              <w:rPr>
                <w:sz w:val="20"/>
                <w:szCs w:val="20"/>
              </w:rPr>
              <w:t>(0.32)</w:t>
            </w:r>
          </w:p>
        </w:tc>
        <w:tc>
          <w:tcPr>
            <w:tcW w:w="1276" w:type="dxa"/>
            <w:vAlign w:val="center"/>
          </w:tcPr>
          <w:p w:rsidR="00B35F2F" w:rsidRDefault="00B35F2F" w:rsidP="0050725C">
            <w:pPr>
              <w:pStyle w:val="NoSpacing"/>
              <w:rPr>
                <w:sz w:val="20"/>
                <w:szCs w:val="20"/>
              </w:rPr>
            </w:pPr>
            <w:r>
              <w:rPr>
                <w:sz w:val="20"/>
                <w:szCs w:val="20"/>
              </w:rPr>
              <w:t xml:space="preserve">0.07 </w:t>
            </w:r>
          </w:p>
          <w:p w:rsidR="00B35F2F" w:rsidRPr="0050725C" w:rsidRDefault="00B35F2F" w:rsidP="0050725C">
            <w:pPr>
              <w:pStyle w:val="NoSpacing"/>
              <w:rPr>
                <w:sz w:val="20"/>
                <w:szCs w:val="20"/>
              </w:rPr>
            </w:pPr>
            <w:r w:rsidRPr="0050725C">
              <w:rPr>
                <w:sz w:val="20"/>
                <w:szCs w:val="20"/>
              </w:rPr>
              <w:t xml:space="preserve"> (0.11)</w:t>
            </w:r>
          </w:p>
        </w:tc>
      </w:tr>
      <w:tr w:rsidR="00B35F2F" w:rsidRPr="0050725C" w:rsidTr="00325D30">
        <w:trPr>
          <w:gridAfter w:val="1"/>
          <w:wAfter w:w="41" w:type="dxa"/>
          <w:trHeight w:val="693"/>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Cook for 13 persons or more *Treatment Indicator </w:t>
            </w:r>
            <w:r w:rsidRPr="0050725C">
              <w:rPr>
                <w:sz w:val="20"/>
                <w:szCs w:val="20"/>
                <w:vertAlign w:val="superscript"/>
              </w:rPr>
              <w:t>b</w:t>
            </w:r>
          </w:p>
        </w:tc>
        <w:tc>
          <w:tcPr>
            <w:tcW w:w="1276" w:type="dxa"/>
            <w:vAlign w:val="center"/>
          </w:tcPr>
          <w:p w:rsidR="00B35F2F" w:rsidRPr="0050725C" w:rsidRDefault="00B35F2F" w:rsidP="0050725C">
            <w:pPr>
              <w:pStyle w:val="NoSpacing"/>
              <w:rPr>
                <w:sz w:val="20"/>
                <w:szCs w:val="20"/>
              </w:rPr>
            </w:pPr>
            <w:r w:rsidRPr="0050725C">
              <w:rPr>
                <w:sz w:val="20"/>
                <w:szCs w:val="20"/>
              </w:rPr>
              <w:t>-0.21</w:t>
            </w:r>
          </w:p>
          <w:p w:rsidR="00B35F2F" w:rsidRPr="0050725C" w:rsidRDefault="00B35F2F" w:rsidP="0050725C">
            <w:pPr>
              <w:pStyle w:val="NoSpacing"/>
              <w:rPr>
                <w:sz w:val="20"/>
                <w:szCs w:val="20"/>
              </w:rPr>
            </w:pPr>
            <w:r w:rsidRPr="0050725C">
              <w:rPr>
                <w:sz w:val="20"/>
                <w:szCs w:val="20"/>
              </w:rPr>
              <w:t>(15.48)</w:t>
            </w:r>
          </w:p>
        </w:tc>
        <w:tc>
          <w:tcPr>
            <w:tcW w:w="1418" w:type="dxa"/>
            <w:vAlign w:val="center"/>
          </w:tcPr>
          <w:p w:rsidR="00B35F2F" w:rsidRPr="0050725C" w:rsidRDefault="00B35F2F" w:rsidP="0050725C">
            <w:pPr>
              <w:pStyle w:val="NoSpacing"/>
              <w:rPr>
                <w:sz w:val="20"/>
                <w:szCs w:val="20"/>
              </w:rPr>
            </w:pPr>
            <w:r w:rsidRPr="0050725C">
              <w:rPr>
                <w:sz w:val="20"/>
                <w:szCs w:val="20"/>
              </w:rPr>
              <w:t>80.85</w:t>
            </w:r>
          </w:p>
          <w:p w:rsidR="00B35F2F" w:rsidRPr="0050725C" w:rsidRDefault="00B35F2F" w:rsidP="0050725C">
            <w:pPr>
              <w:pStyle w:val="NoSpacing"/>
              <w:rPr>
                <w:sz w:val="20"/>
                <w:szCs w:val="20"/>
              </w:rPr>
            </w:pPr>
            <w:r w:rsidRPr="0050725C">
              <w:rPr>
                <w:sz w:val="20"/>
                <w:szCs w:val="20"/>
              </w:rPr>
              <w:t>(66.38)</w:t>
            </w:r>
          </w:p>
        </w:tc>
        <w:tc>
          <w:tcPr>
            <w:tcW w:w="1275" w:type="dxa"/>
            <w:gridSpan w:val="2"/>
            <w:vAlign w:val="center"/>
          </w:tcPr>
          <w:p w:rsidR="00B35F2F" w:rsidRPr="0050725C" w:rsidRDefault="00B35F2F" w:rsidP="0050725C">
            <w:pPr>
              <w:pStyle w:val="NoSpacing"/>
              <w:rPr>
                <w:sz w:val="20"/>
                <w:szCs w:val="20"/>
              </w:rPr>
            </w:pPr>
            <w:r w:rsidRPr="0050725C">
              <w:rPr>
                <w:sz w:val="20"/>
                <w:szCs w:val="20"/>
              </w:rPr>
              <w:t>0.19</w:t>
            </w:r>
          </w:p>
          <w:p w:rsidR="00B35F2F" w:rsidRPr="0050725C" w:rsidRDefault="00B35F2F" w:rsidP="0050725C">
            <w:pPr>
              <w:pStyle w:val="NoSpacing"/>
              <w:rPr>
                <w:sz w:val="20"/>
                <w:szCs w:val="20"/>
              </w:rPr>
            </w:pPr>
            <w:r w:rsidRPr="0050725C">
              <w:rPr>
                <w:sz w:val="20"/>
                <w:szCs w:val="20"/>
              </w:rPr>
              <w:t>(2.16)</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-0.09</w:t>
            </w:r>
          </w:p>
          <w:p w:rsidR="00B35F2F" w:rsidRPr="0050725C" w:rsidRDefault="00B35F2F" w:rsidP="0050725C">
            <w:pPr>
              <w:pStyle w:val="NoSpacing"/>
              <w:rPr>
                <w:sz w:val="20"/>
                <w:szCs w:val="20"/>
              </w:rPr>
            </w:pPr>
            <w:r w:rsidRPr="0050725C">
              <w:rPr>
                <w:sz w:val="20"/>
                <w:szCs w:val="20"/>
              </w:rPr>
              <w:t>(0.21)</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0.23</w:t>
            </w:r>
          </w:p>
          <w:p w:rsidR="00B35F2F" w:rsidRPr="0050725C" w:rsidRDefault="00B35F2F" w:rsidP="0050725C">
            <w:pPr>
              <w:pStyle w:val="NoSpacing"/>
              <w:rPr>
                <w:sz w:val="20"/>
                <w:szCs w:val="20"/>
              </w:rPr>
            </w:pPr>
            <w:r w:rsidRPr="0050725C">
              <w:rPr>
                <w:sz w:val="20"/>
                <w:szCs w:val="20"/>
              </w:rPr>
              <w:t>(0.36)</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0.26 </w:t>
            </w:r>
            <w:r w:rsidRPr="0050725C">
              <w:rPr>
                <w:sz w:val="20"/>
                <w:szCs w:val="20"/>
              </w:rPr>
              <w:br/>
              <w:t>(0.13)*</w:t>
            </w:r>
          </w:p>
        </w:tc>
      </w:tr>
      <w:tr w:rsidR="00B35F2F" w:rsidRPr="0050725C" w:rsidTr="00325D30">
        <w:trPr>
          <w:gridAfter w:val="1"/>
          <w:wAfter w:w="41" w:type="dxa"/>
          <w:trHeight w:val="346"/>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Cook for 6 persons or less </w:t>
            </w:r>
            <w:r w:rsidRPr="0050725C">
              <w:rPr>
                <w:sz w:val="20"/>
                <w:szCs w:val="20"/>
                <w:vertAlign w:val="superscript"/>
              </w:rPr>
              <w:t>b</w:t>
            </w:r>
          </w:p>
        </w:tc>
        <w:tc>
          <w:tcPr>
            <w:tcW w:w="1276" w:type="dxa"/>
            <w:noWrap/>
            <w:vAlign w:val="center"/>
          </w:tcPr>
          <w:p w:rsidR="00B35F2F" w:rsidRPr="0050725C" w:rsidRDefault="00B35F2F" w:rsidP="0050725C">
            <w:pPr>
              <w:pStyle w:val="NoSpacing"/>
              <w:rPr>
                <w:sz w:val="20"/>
                <w:szCs w:val="20"/>
              </w:rPr>
            </w:pPr>
            <w:r w:rsidRPr="0050725C">
              <w:rPr>
                <w:sz w:val="20"/>
                <w:szCs w:val="20"/>
              </w:rPr>
              <w:t>...</w:t>
            </w:r>
          </w:p>
        </w:tc>
        <w:tc>
          <w:tcPr>
            <w:tcW w:w="1418" w:type="dxa"/>
            <w:noWrap/>
            <w:vAlign w:val="center"/>
          </w:tcPr>
          <w:p w:rsidR="00B35F2F" w:rsidRPr="0050725C" w:rsidRDefault="00B35F2F" w:rsidP="0050725C">
            <w:pPr>
              <w:pStyle w:val="NoSpacing"/>
              <w:rPr>
                <w:sz w:val="20"/>
                <w:szCs w:val="20"/>
              </w:rPr>
            </w:pPr>
            <w:r w:rsidRPr="0050725C">
              <w:rPr>
                <w:sz w:val="20"/>
                <w:szCs w:val="20"/>
              </w:rPr>
              <w:t>...</w:t>
            </w:r>
          </w:p>
        </w:tc>
        <w:tc>
          <w:tcPr>
            <w:tcW w:w="1275" w:type="dxa"/>
            <w:gridSpan w:val="2"/>
            <w:noWrap/>
            <w:vAlign w:val="center"/>
          </w:tcPr>
          <w:p w:rsidR="00B35F2F" w:rsidRPr="0050725C" w:rsidRDefault="00B35F2F" w:rsidP="0050725C">
            <w:pPr>
              <w:pStyle w:val="NoSpacing"/>
              <w:rPr>
                <w:sz w:val="20"/>
                <w:szCs w:val="20"/>
              </w:rPr>
            </w:pPr>
            <w:r w:rsidRPr="0050725C">
              <w:rPr>
                <w:sz w:val="20"/>
                <w:szCs w:val="20"/>
              </w:rPr>
              <w:t>...</w:t>
            </w:r>
          </w:p>
        </w:tc>
        <w:tc>
          <w:tcPr>
            <w:tcW w:w="1418" w:type="dxa"/>
            <w:noWrap/>
            <w:vAlign w:val="center"/>
          </w:tcPr>
          <w:p w:rsidR="00B35F2F" w:rsidRPr="0050725C" w:rsidRDefault="00B35F2F" w:rsidP="0050725C">
            <w:pPr>
              <w:pStyle w:val="NoSpacing"/>
              <w:rPr>
                <w:sz w:val="20"/>
                <w:szCs w:val="20"/>
              </w:rPr>
            </w:pPr>
            <w:r w:rsidRPr="0050725C">
              <w:rPr>
                <w:sz w:val="20"/>
                <w:szCs w:val="20"/>
              </w:rPr>
              <w:t>...</w:t>
            </w:r>
          </w:p>
        </w:tc>
        <w:tc>
          <w:tcPr>
            <w:tcW w:w="1417" w:type="dxa"/>
            <w:noWrap/>
            <w:vAlign w:val="center"/>
          </w:tcPr>
          <w:p w:rsidR="00B35F2F" w:rsidRPr="0050725C" w:rsidRDefault="00B35F2F" w:rsidP="0050725C">
            <w:pPr>
              <w:pStyle w:val="NoSpacing"/>
              <w:rPr>
                <w:sz w:val="20"/>
                <w:szCs w:val="20"/>
              </w:rPr>
            </w:pPr>
            <w:r w:rsidRPr="0050725C">
              <w:rPr>
                <w:sz w:val="20"/>
                <w:szCs w:val="20"/>
              </w:rPr>
              <w:t>...</w:t>
            </w:r>
          </w:p>
        </w:tc>
        <w:tc>
          <w:tcPr>
            <w:tcW w:w="1276" w:type="dxa"/>
            <w:vAlign w:val="center"/>
          </w:tcPr>
          <w:p w:rsidR="00B35F2F" w:rsidRPr="0050725C" w:rsidRDefault="00B35F2F" w:rsidP="0050725C">
            <w:pPr>
              <w:pStyle w:val="NoSpacing"/>
              <w:rPr>
                <w:sz w:val="20"/>
                <w:szCs w:val="20"/>
              </w:rPr>
            </w:pPr>
            <w:r w:rsidRPr="0050725C">
              <w:rPr>
                <w:sz w:val="20"/>
                <w:szCs w:val="20"/>
              </w:rPr>
              <w:t>...</w:t>
            </w:r>
          </w:p>
        </w:tc>
      </w:tr>
      <w:tr w:rsidR="00B35F2F" w:rsidRPr="0050725C" w:rsidTr="00325D30">
        <w:trPr>
          <w:gridAfter w:val="1"/>
          <w:wAfter w:w="41" w:type="dxa"/>
          <w:trHeight w:val="413"/>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Cook for is 7-12 persons </w:t>
            </w:r>
            <w:r w:rsidRPr="0050725C">
              <w:rPr>
                <w:sz w:val="20"/>
                <w:szCs w:val="20"/>
                <w:vertAlign w:val="superscript"/>
              </w:rPr>
              <w:t>b</w:t>
            </w:r>
          </w:p>
        </w:tc>
        <w:tc>
          <w:tcPr>
            <w:tcW w:w="1276" w:type="dxa"/>
            <w:vAlign w:val="center"/>
          </w:tcPr>
          <w:p w:rsidR="00B35F2F" w:rsidRPr="0050725C" w:rsidRDefault="00B35F2F" w:rsidP="0050725C">
            <w:pPr>
              <w:pStyle w:val="NoSpacing"/>
              <w:rPr>
                <w:sz w:val="20"/>
                <w:szCs w:val="20"/>
              </w:rPr>
            </w:pPr>
            <w:r w:rsidRPr="0050725C">
              <w:rPr>
                <w:sz w:val="20"/>
                <w:szCs w:val="20"/>
              </w:rPr>
              <w:t>18.73</w:t>
            </w:r>
          </w:p>
          <w:p w:rsidR="00B35F2F" w:rsidRPr="0050725C" w:rsidRDefault="00B35F2F" w:rsidP="0050725C">
            <w:pPr>
              <w:pStyle w:val="NoSpacing"/>
              <w:rPr>
                <w:sz w:val="20"/>
                <w:szCs w:val="20"/>
              </w:rPr>
            </w:pPr>
            <w:r w:rsidRPr="0050725C">
              <w:rPr>
                <w:sz w:val="20"/>
                <w:szCs w:val="20"/>
              </w:rPr>
              <w:t>(21.97)</w:t>
            </w:r>
          </w:p>
        </w:tc>
        <w:tc>
          <w:tcPr>
            <w:tcW w:w="1418" w:type="dxa"/>
            <w:vAlign w:val="center"/>
          </w:tcPr>
          <w:p w:rsidR="00B35F2F" w:rsidRPr="0050725C" w:rsidRDefault="00B35F2F" w:rsidP="0050725C">
            <w:pPr>
              <w:pStyle w:val="NoSpacing"/>
              <w:rPr>
                <w:sz w:val="20"/>
                <w:szCs w:val="20"/>
              </w:rPr>
            </w:pPr>
            <w:r w:rsidRPr="0050725C">
              <w:rPr>
                <w:sz w:val="20"/>
                <w:szCs w:val="20"/>
              </w:rPr>
              <w:t>-1.70</w:t>
            </w:r>
          </w:p>
          <w:p w:rsidR="00B35F2F" w:rsidRPr="0050725C" w:rsidRDefault="00B35F2F" w:rsidP="0050725C">
            <w:pPr>
              <w:pStyle w:val="NoSpacing"/>
              <w:rPr>
                <w:sz w:val="20"/>
                <w:szCs w:val="20"/>
              </w:rPr>
            </w:pPr>
            <w:r w:rsidRPr="0050725C">
              <w:rPr>
                <w:sz w:val="20"/>
                <w:szCs w:val="20"/>
              </w:rPr>
              <w:t>(93.97)</w:t>
            </w:r>
          </w:p>
        </w:tc>
        <w:tc>
          <w:tcPr>
            <w:tcW w:w="1275" w:type="dxa"/>
            <w:gridSpan w:val="2"/>
            <w:vAlign w:val="center"/>
          </w:tcPr>
          <w:p w:rsidR="00B35F2F" w:rsidRPr="0050725C" w:rsidRDefault="00B35F2F" w:rsidP="0050725C">
            <w:pPr>
              <w:pStyle w:val="NoSpacing"/>
              <w:rPr>
                <w:sz w:val="20"/>
                <w:szCs w:val="20"/>
              </w:rPr>
            </w:pPr>
            <w:r w:rsidRPr="0050725C">
              <w:rPr>
                <w:sz w:val="20"/>
                <w:szCs w:val="20"/>
              </w:rPr>
              <w:t>0.95</w:t>
            </w:r>
          </w:p>
          <w:p w:rsidR="00B35F2F" w:rsidRPr="0050725C" w:rsidRDefault="00B35F2F" w:rsidP="0050725C">
            <w:pPr>
              <w:pStyle w:val="NoSpacing"/>
              <w:rPr>
                <w:sz w:val="20"/>
                <w:szCs w:val="20"/>
              </w:rPr>
            </w:pPr>
            <w:r w:rsidRPr="0050725C">
              <w:rPr>
                <w:sz w:val="20"/>
                <w:szCs w:val="20"/>
              </w:rPr>
              <w:t>(2.89)</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0.24</w:t>
            </w:r>
          </w:p>
          <w:p w:rsidR="00B35F2F" w:rsidRPr="0050725C" w:rsidRDefault="00B35F2F" w:rsidP="0050725C">
            <w:pPr>
              <w:pStyle w:val="NoSpacing"/>
              <w:rPr>
                <w:sz w:val="20"/>
                <w:szCs w:val="20"/>
              </w:rPr>
            </w:pPr>
            <w:r w:rsidRPr="0050725C">
              <w:rPr>
                <w:sz w:val="20"/>
                <w:szCs w:val="20"/>
              </w:rPr>
              <w:t>(0.30)</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0.33</w:t>
            </w:r>
          </w:p>
          <w:p w:rsidR="00B35F2F" w:rsidRPr="0050725C" w:rsidRDefault="00B35F2F" w:rsidP="0050725C">
            <w:pPr>
              <w:pStyle w:val="NoSpacing"/>
              <w:rPr>
                <w:sz w:val="20"/>
                <w:szCs w:val="20"/>
              </w:rPr>
            </w:pPr>
            <w:r w:rsidRPr="0050725C">
              <w:rPr>
                <w:sz w:val="20"/>
                <w:szCs w:val="20"/>
              </w:rPr>
              <w:t>(0.51)</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0.02 </w:t>
            </w:r>
            <w:r w:rsidRPr="0050725C">
              <w:rPr>
                <w:sz w:val="20"/>
                <w:szCs w:val="20"/>
              </w:rPr>
              <w:br/>
              <w:t>(0.18)</w:t>
            </w:r>
          </w:p>
        </w:tc>
      </w:tr>
      <w:tr w:rsidR="00B35F2F" w:rsidRPr="0050725C" w:rsidTr="00325D30">
        <w:trPr>
          <w:gridAfter w:val="1"/>
          <w:wAfter w:w="41" w:type="dxa"/>
          <w:trHeight w:val="505"/>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Cook for 13 persons or more </w:t>
            </w:r>
            <w:r w:rsidRPr="0050725C">
              <w:rPr>
                <w:sz w:val="20"/>
                <w:szCs w:val="20"/>
                <w:vertAlign w:val="superscript"/>
              </w:rPr>
              <w:t>b</w:t>
            </w:r>
          </w:p>
        </w:tc>
        <w:tc>
          <w:tcPr>
            <w:tcW w:w="1276" w:type="dxa"/>
            <w:vAlign w:val="center"/>
          </w:tcPr>
          <w:p w:rsidR="00B35F2F" w:rsidRPr="0050725C" w:rsidRDefault="00B35F2F" w:rsidP="0050725C">
            <w:pPr>
              <w:pStyle w:val="NoSpacing"/>
              <w:rPr>
                <w:sz w:val="20"/>
                <w:szCs w:val="20"/>
              </w:rPr>
            </w:pPr>
            <w:r w:rsidRPr="0050725C">
              <w:rPr>
                <w:sz w:val="20"/>
                <w:szCs w:val="20"/>
              </w:rPr>
              <w:t>15.81</w:t>
            </w:r>
          </w:p>
          <w:p w:rsidR="00B35F2F" w:rsidRPr="0050725C" w:rsidRDefault="00B35F2F" w:rsidP="0050725C">
            <w:pPr>
              <w:pStyle w:val="NoSpacing"/>
              <w:rPr>
                <w:sz w:val="20"/>
                <w:szCs w:val="20"/>
              </w:rPr>
            </w:pPr>
            <w:r w:rsidRPr="0050725C">
              <w:rPr>
                <w:sz w:val="20"/>
                <w:szCs w:val="20"/>
              </w:rPr>
              <w:t>(35.81)</w:t>
            </w:r>
          </w:p>
        </w:tc>
        <w:tc>
          <w:tcPr>
            <w:tcW w:w="1418" w:type="dxa"/>
            <w:vAlign w:val="center"/>
          </w:tcPr>
          <w:p w:rsidR="00B35F2F" w:rsidRPr="0050725C" w:rsidRDefault="00B35F2F" w:rsidP="0050725C">
            <w:pPr>
              <w:pStyle w:val="NoSpacing"/>
              <w:rPr>
                <w:sz w:val="20"/>
                <w:szCs w:val="20"/>
              </w:rPr>
            </w:pPr>
            <w:r w:rsidRPr="0050725C">
              <w:rPr>
                <w:sz w:val="20"/>
                <w:szCs w:val="20"/>
              </w:rPr>
              <w:t>-40.57</w:t>
            </w:r>
          </w:p>
          <w:p w:rsidR="00B35F2F" w:rsidRPr="0050725C" w:rsidRDefault="00B35F2F" w:rsidP="0050725C">
            <w:pPr>
              <w:pStyle w:val="NoSpacing"/>
              <w:rPr>
                <w:sz w:val="20"/>
                <w:szCs w:val="20"/>
              </w:rPr>
            </w:pPr>
            <w:r w:rsidRPr="0050725C">
              <w:rPr>
                <w:sz w:val="20"/>
                <w:szCs w:val="20"/>
              </w:rPr>
              <w:t>(153. 25)</w:t>
            </w:r>
          </w:p>
        </w:tc>
        <w:tc>
          <w:tcPr>
            <w:tcW w:w="1275" w:type="dxa"/>
            <w:gridSpan w:val="2"/>
            <w:vAlign w:val="center"/>
          </w:tcPr>
          <w:p w:rsidR="00B35F2F" w:rsidRPr="0050725C" w:rsidRDefault="00B35F2F" w:rsidP="0050725C">
            <w:pPr>
              <w:pStyle w:val="NoSpacing"/>
              <w:rPr>
                <w:sz w:val="20"/>
                <w:szCs w:val="20"/>
              </w:rPr>
            </w:pPr>
            <w:r w:rsidRPr="0050725C">
              <w:rPr>
                <w:sz w:val="20"/>
                <w:szCs w:val="20"/>
              </w:rPr>
              <w:t>3.99</w:t>
            </w:r>
          </w:p>
          <w:p w:rsidR="00B35F2F" w:rsidRPr="0050725C" w:rsidRDefault="00B35F2F" w:rsidP="0050725C">
            <w:pPr>
              <w:pStyle w:val="NoSpacing"/>
              <w:rPr>
                <w:sz w:val="20"/>
                <w:szCs w:val="20"/>
              </w:rPr>
            </w:pPr>
            <w:r w:rsidRPr="0050725C">
              <w:rPr>
                <w:sz w:val="20"/>
                <w:szCs w:val="20"/>
              </w:rPr>
              <w:t>(4.93)</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0.10</w:t>
            </w:r>
          </w:p>
          <w:p w:rsidR="00B35F2F" w:rsidRPr="0050725C" w:rsidRDefault="00B35F2F" w:rsidP="0050725C">
            <w:pPr>
              <w:pStyle w:val="NoSpacing"/>
              <w:rPr>
                <w:sz w:val="20"/>
                <w:szCs w:val="20"/>
              </w:rPr>
            </w:pPr>
            <w:r w:rsidRPr="0050725C">
              <w:rPr>
                <w:sz w:val="20"/>
                <w:szCs w:val="20"/>
              </w:rPr>
              <w:t>(0.48)</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-0.19</w:t>
            </w:r>
          </w:p>
          <w:p w:rsidR="00B35F2F" w:rsidRPr="0050725C" w:rsidRDefault="00B35F2F" w:rsidP="0050725C">
            <w:pPr>
              <w:pStyle w:val="NoSpacing"/>
              <w:rPr>
                <w:sz w:val="20"/>
                <w:szCs w:val="20"/>
              </w:rPr>
            </w:pPr>
            <w:r w:rsidRPr="0050725C">
              <w:rPr>
                <w:sz w:val="20"/>
                <w:szCs w:val="20"/>
              </w:rPr>
              <w:t>(0.84)</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-0.04 </w:t>
            </w:r>
            <w:r w:rsidRPr="0050725C">
              <w:rPr>
                <w:sz w:val="20"/>
                <w:szCs w:val="20"/>
              </w:rPr>
              <w:br/>
              <w:t>(0.29)</w:t>
            </w:r>
          </w:p>
        </w:tc>
      </w:tr>
      <w:tr w:rsidR="00B35F2F" w:rsidRPr="0050725C" w:rsidTr="00325D30">
        <w:trPr>
          <w:gridAfter w:val="1"/>
          <w:wAfter w:w="41" w:type="dxa"/>
          <w:trHeight w:val="415"/>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Village fixed effects </w:t>
            </w:r>
            <w:r w:rsidRPr="0050725C">
              <w:rPr>
                <w:sz w:val="20"/>
                <w:szCs w:val="20"/>
                <w:vertAlign w:val="superscript"/>
              </w:rPr>
              <w:t>a</w:t>
            </w:r>
          </w:p>
        </w:tc>
        <w:tc>
          <w:tcPr>
            <w:tcW w:w="1276" w:type="dxa"/>
            <w:vAlign w:val="center"/>
          </w:tcPr>
          <w:p w:rsidR="00B35F2F" w:rsidRPr="0050725C" w:rsidRDefault="00B35F2F" w:rsidP="0050725C">
            <w:pPr>
              <w:pStyle w:val="NoSpacing"/>
              <w:rPr>
                <w:sz w:val="20"/>
                <w:szCs w:val="20"/>
              </w:rPr>
            </w:pPr>
            <w:r w:rsidRPr="0050725C">
              <w:rPr>
                <w:sz w:val="20"/>
                <w:szCs w:val="20"/>
              </w:rPr>
              <w:t>Yes***</w:t>
            </w:r>
          </w:p>
        </w:tc>
        <w:tc>
          <w:tcPr>
            <w:tcW w:w="1418" w:type="dxa"/>
            <w:vAlign w:val="center"/>
          </w:tcPr>
          <w:p w:rsidR="00B35F2F" w:rsidRPr="0050725C" w:rsidRDefault="00B35F2F" w:rsidP="0050725C">
            <w:pPr>
              <w:pStyle w:val="NoSpacing"/>
              <w:rPr>
                <w:sz w:val="20"/>
                <w:szCs w:val="20"/>
              </w:rPr>
            </w:pPr>
            <w:r w:rsidRPr="0050725C">
              <w:rPr>
                <w:sz w:val="20"/>
                <w:szCs w:val="20"/>
              </w:rPr>
              <w:t>Yes**</w:t>
            </w:r>
          </w:p>
        </w:tc>
        <w:tc>
          <w:tcPr>
            <w:tcW w:w="1275" w:type="dxa"/>
            <w:gridSpan w:val="2"/>
            <w:vAlign w:val="center"/>
          </w:tcPr>
          <w:p w:rsidR="00B35F2F" w:rsidRPr="0050725C" w:rsidRDefault="00B35F2F" w:rsidP="0050725C">
            <w:pPr>
              <w:pStyle w:val="NoSpacing"/>
              <w:rPr>
                <w:sz w:val="20"/>
                <w:szCs w:val="20"/>
              </w:rPr>
            </w:pPr>
            <w:r w:rsidRPr="0050725C">
              <w:rPr>
                <w:sz w:val="20"/>
                <w:szCs w:val="20"/>
              </w:rPr>
              <w:t>Yes*</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Yes***</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Yes***</w:t>
            </w:r>
          </w:p>
        </w:tc>
        <w:tc>
          <w:tcPr>
            <w:tcW w:w="1276" w:type="dxa"/>
            <w:vAlign w:val="center"/>
          </w:tcPr>
          <w:p w:rsidR="00B35F2F" w:rsidRPr="0050725C" w:rsidRDefault="00B35F2F" w:rsidP="0050725C">
            <w:pPr>
              <w:pStyle w:val="NoSpacing"/>
              <w:rPr>
                <w:sz w:val="20"/>
                <w:szCs w:val="20"/>
              </w:rPr>
            </w:pPr>
            <w:r w:rsidRPr="0050725C">
              <w:rPr>
                <w:sz w:val="20"/>
                <w:szCs w:val="20"/>
              </w:rPr>
              <w:t>Yes***</w:t>
            </w:r>
          </w:p>
        </w:tc>
      </w:tr>
      <w:tr w:rsidR="00B35F2F" w:rsidRPr="0050725C" w:rsidTr="00325D30">
        <w:trPr>
          <w:gridAfter w:val="1"/>
          <w:wAfter w:w="41" w:type="dxa"/>
          <w:trHeight w:val="427"/>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Lunch kg. of wood used </w:t>
            </w:r>
            <w:r w:rsidRPr="0050725C">
              <w:rPr>
                <w:sz w:val="20"/>
                <w:szCs w:val="20"/>
                <w:vertAlign w:val="superscript"/>
              </w:rPr>
              <w:t>a</w:t>
            </w:r>
          </w:p>
        </w:tc>
        <w:tc>
          <w:tcPr>
            <w:tcW w:w="1276" w:type="dxa"/>
            <w:vAlign w:val="center"/>
          </w:tcPr>
          <w:p w:rsidR="00B35F2F" w:rsidRPr="0050725C" w:rsidRDefault="00B35F2F" w:rsidP="0050725C">
            <w:pPr>
              <w:pStyle w:val="NoSpacing"/>
              <w:rPr>
                <w:sz w:val="20"/>
                <w:szCs w:val="20"/>
              </w:rPr>
            </w:pPr>
            <w:r w:rsidRPr="0050725C">
              <w:rPr>
                <w:sz w:val="20"/>
                <w:szCs w:val="20"/>
              </w:rPr>
              <w:t>0.42</w:t>
            </w:r>
          </w:p>
          <w:p w:rsidR="00B35F2F" w:rsidRPr="0050725C" w:rsidRDefault="00B35F2F" w:rsidP="0050725C">
            <w:pPr>
              <w:pStyle w:val="NoSpacing"/>
              <w:rPr>
                <w:sz w:val="20"/>
                <w:szCs w:val="20"/>
              </w:rPr>
            </w:pPr>
            <w:r w:rsidRPr="0050725C">
              <w:rPr>
                <w:sz w:val="20"/>
                <w:szCs w:val="20"/>
              </w:rPr>
              <w:t>(2.45)</w:t>
            </w:r>
          </w:p>
        </w:tc>
        <w:tc>
          <w:tcPr>
            <w:tcW w:w="1418" w:type="dxa"/>
            <w:vAlign w:val="center"/>
          </w:tcPr>
          <w:p w:rsidR="00B35F2F" w:rsidRPr="0050725C" w:rsidRDefault="00B35F2F" w:rsidP="0050725C">
            <w:pPr>
              <w:pStyle w:val="NoSpacing"/>
              <w:rPr>
                <w:sz w:val="20"/>
                <w:szCs w:val="20"/>
              </w:rPr>
            </w:pPr>
            <w:r w:rsidRPr="0050725C">
              <w:rPr>
                <w:sz w:val="20"/>
                <w:szCs w:val="20"/>
              </w:rPr>
              <w:t>21.03 (10.49)*</w:t>
            </w:r>
          </w:p>
        </w:tc>
        <w:tc>
          <w:tcPr>
            <w:tcW w:w="1275" w:type="dxa"/>
            <w:gridSpan w:val="2"/>
            <w:vAlign w:val="center"/>
          </w:tcPr>
          <w:p w:rsidR="00B35F2F" w:rsidRPr="0050725C" w:rsidRDefault="00B35F2F" w:rsidP="0050725C">
            <w:pPr>
              <w:pStyle w:val="NoSpacing"/>
              <w:rPr>
                <w:sz w:val="20"/>
                <w:szCs w:val="20"/>
              </w:rPr>
            </w:pPr>
            <w:r w:rsidRPr="0050725C">
              <w:rPr>
                <w:sz w:val="20"/>
                <w:szCs w:val="20"/>
              </w:rPr>
              <w:t>0.07</w:t>
            </w:r>
          </w:p>
          <w:p w:rsidR="00B35F2F" w:rsidRPr="0050725C" w:rsidRDefault="00B35F2F" w:rsidP="0050725C">
            <w:pPr>
              <w:pStyle w:val="NoSpacing"/>
              <w:rPr>
                <w:sz w:val="20"/>
                <w:szCs w:val="20"/>
              </w:rPr>
            </w:pPr>
            <w:r w:rsidRPr="0050725C">
              <w:rPr>
                <w:sz w:val="20"/>
                <w:szCs w:val="20"/>
              </w:rPr>
              <w:t>(0.32)</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-0.01</w:t>
            </w:r>
          </w:p>
          <w:p w:rsidR="00B35F2F" w:rsidRPr="0050725C" w:rsidRDefault="00B35F2F" w:rsidP="0050725C">
            <w:pPr>
              <w:pStyle w:val="NoSpacing"/>
              <w:rPr>
                <w:sz w:val="20"/>
                <w:szCs w:val="20"/>
              </w:rPr>
            </w:pPr>
            <w:r w:rsidRPr="0050725C">
              <w:rPr>
                <w:sz w:val="20"/>
                <w:szCs w:val="20"/>
              </w:rPr>
              <w:t>(0.03)</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0.04</w:t>
            </w:r>
          </w:p>
          <w:p w:rsidR="00B35F2F" w:rsidRPr="0050725C" w:rsidRDefault="00B35F2F" w:rsidP="0050725C">
            <w:pPr>
              <w:pStyle w:val="NoSpacing"/>
              <w:rPr>
                <w:sz w:val="20"/>
                <w:szCs w:val="20"/>
              </w:rPr>
            </w:pPr>
            <w:r w:rsidRPr="0050725C">
              <w:rPr>
                <w:sz w:val="20"/>
                <w:szCs w:val="20"/>
              </w:rPr>
              <w:t>(0.06)</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0.02 </w:t>
            </w:r>
            <w:r w:rsidRPr="0050725C">
              <w:rPr>
                <w:sz w:val="20"/>
                <w:szCs w:val="20"/>
              </w:rPr>
              <w:br/>
              <w:t>(0.01)</w:t>
            </w:r>
          </w:p>
        </w:tc>
      </w:tr>
      <w:tr w:rsidR="00B35F2F" w:rsidRPr="0050725C" w:rsidTr="00325D30">
        <w:trPr>
          <w:gridAfter w:val="1"/>
          <w:wAfter w:w="41" w:type="dxa"/>
          <w:trHeight w:val="427"/>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No. people woman reports cooking for </w:t>
            </w:r>
            <w:r w:rsidRPr="0050725C">
              <w:rPr>
                <w:sz w:val="20"/>
                <w:szCs w:val="20"/>
                <w:vertAlign w:val="superscript"/>
              </w:rPr>
              <w:t>a</w:t>
            </w:r>
          </w:p>
        </w:tc>
        <w:tc>
          <w:tcPr>
            <w:tcW w:w="1276" w:type="dxa"/>
            <w:vAlign w:val="center"/>
          </w:tcPr>
          <w:p w:rsidR="00B35F2F" w:rsidRPr="0050725C" w:rsidRDefault="00B35F2F" w:rsidP="0050725C">
            <w:pPr>
              <w:pStyle w:val="NoSpacing"/>
              <w:rPr>
                <w:sz w:val="20"/>
                <w:szCs w:val="20"/>
              </w:rPr>
            </w:pPr>
            <w:r w:rsidRPr="0050725C">
              <w:rPr>
                <w:sz w:val="20"/>
                <w:szCs w:val="20"/>
              </w:rPr>
              <w:t>0.69</w:t>
            </w:r>
          </w:p>
          <w:p w:rsidR="00B35F2F" w:rsidRPr="0050725C" w:rsidRDefault="00B35F2F" w:rsidP="0050725C">
            <w:pPr>
              <w:pStyle w:val="NoSpacing"/>
              <w:rPr>
                <w:sz w:val="20"/>
                <w:szCs w:val="20"/>
              </w:rPr>
            </w:pPr>
            <w:r w:rsidRPr="0050725C">
              <w:rPr>
                <w:sz w:val="20"/>
                <w:szCs w:val="20"/>
              </w:rPr>
              <w:t>(1.22)</w:t>
            </w:r>
          </w:p>
        </w:tc>
        <w:tc>
          <w:tcPr>
            <w:tcW w:w="1418" w:type="dxa"/>
            <w:vAlign w:val="center"/>
          </w:tcPr>
          <w:p w:rsidR="00B35F2F" w:rsidRPr="0050725C" w:rsidRDefault="00B35F2F" w:rsidP="0050725C">
            <w:pPr>
              <w:pStyle w:val="NoSpacing"/>
              <w:rPr>
                <w:sz w:val="20"/>
                <w:szCs w:val="20"/>
              </w:rPr>
            </w:pPr>
            <w:r w:rsidRPr="0050725C">
              <w:rPr>
                <w:sz w:val="20"/>
                <w:szCs w:val="20"/>
              </w:rPr>
              <w:t>-2.51</w:t>
            </w:r>
          </w:p>
          <w:p w:rsidR="00B35F2F" w:rsidRPr="0050725C" w:rsidRDefault="00B35F2F" w:rsidP="0050725C">
            <w:pPr>
              <w:pStyle w:val="NoSpacing"/>
              <w:rPr>
                <w:sz w:val="20"/>
                <w:szCs w:val="20"/>
              </w:rPr>
            </w:pPr>
            <w:r w:rsidRPr="0050725C">
              <w:rPr>
                <w:sz w:val="20"/>
                <w:szCs w:val="20"/>
              </w:rPr>
              <w:t>(5.24)</w:t>
            </w:r>
          </w:p>
        </w:tc>
        <w:tc>
          <w:tcPr>
            <w:tcW w:w="1275" w:type="dxa"/>
            <w:gridSpan w:val="2"/>
            <w:vAlign w:val="center"/>
          </w:tcPr>
          <w:p w:rsidR="00B35F2F" w:rsidRPr="0050725C" w:rsidRDefault="00B35F2F" w:rsidP="0050725C">
            <w:pPr>
              <w:pStyle w:val="NoSpacing"/>
              <w:rPr>
                <w:sz w:val="20"/>
                <w:szCs w:val="20"/>
              </w:rPr>
            </w:pPr>
            <w:r w:rsidRPr="0050725C">
              <w:rPr>
                <w:sz w:val="20"/>
                <w:szCs w:val="20"/>
              </w:rPr>
              <w:t>-0.07</w:t>
            </w:r>
          </w:p>
          <w:p w:rsidR="00B35F2F" w:rsidRPr="0050725C" w:rsidRDefault="00B35F2F" w:rsidP="0050725C">
            <w:pPr>
              <w:pStyle w:val="NoSpacing"/>
              <w:rPr>
                <w:sz w:val="20"/>
                <w:szCs w:val="20"/>
              </w:rPr>
            </w:pPr>
            <w:r w:rsidRPr="0050725C">
              <w:rPr>
                <w:sz w:val="20"/>
                <w:szCs w:val="20"/>
              </w:rPr>
              <w:t>(0.15)</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0.02</w:t>
            </w:r>
          </w:p>
          <w:p w:rsidR="00B35F2F" w:rsidRPr="0050725C" w:rsidRDefault="00B35F2F" w:rsidP="0050725C">
            <w:pPr>
              <w:pStyle w:val="NoSpacing"/>
              <w:rPr>
                <w:sz w:val="20"/>
                <w:szCs w:val="20"/>
              </w:rPr>
            </w:pPr>
            <w:r w:rsidRPr="0050725C">
              <w:rPr>
                <w:sz w:val="20"/>
                <w:szCs w:val="20"/>
              </w:rPr>
              <w:t>(0.02)</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0.01</w:t>
            </w:r>
          </w:p>
          <w:p w:rsidR="00B35F2F" w:rsidRPr="0050725C" w:rsidRDefault="00B35F2F" w:rsidP="0050725C">
            <w:pPr>
              <w:pStyle w:val="NoSpacing"/>
              <w:rPr>
                <w:sz w:val="20"/>
                <w:szCs w:val="20"/>
              </w:rPr>
            </w:pPr>
            <w:r w:rsidRPr="0050725C">
              <w:rPr>
                <w:sz w:val="20"/>
                <w:szCs w:val="20"/>
              </w:rPr>
              <w:t>(0.03)</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0.02 </w:t>
            </w:r>
            <w:r w:rsidRPr="0050725C">
              <w:rPr>
                <w:sz w:val="20"/>
                <w:szCs w:val="20"/>
              </w:rPr>
              <w:br/>
              <w:t>(0.02)</w:t>
            </w:r>
          </w:p>
        </w:tc>
      </w:tr>
      <w:tr w:rsidR="00B35F2F" w:rsidRPr="0050725C" w:rsidTr="00325D30">
        <w:trPr>
          <w:gridAfter w:val="1"/>
          <w:wAfter w:w="41" w:type="dxa"/>
          <w:trHeight w:val="624"/>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Enclosed or semi-enclosed cooking area (not wall-less roof or open air) </w:t>
            </w:r>
            <w:r w:rsidRPr="0050725C">
              <w:rPr>
                <w:sz w:val="20"/>
                <w:szCs w:val="20"/>
                <w:vertAlign w:val="superscript"/>
              </w:rPr>
              <w:t>3,b</w:t>
            </w:r>
          </w:p>
        </w:tc>
        <w:tc>
          <w:tcPr>
            <w:tcW w:w="1276" w:type="dxa"/>
            <w:vAlign w:val="center"/>
          </w:tcPr>
          <w:p w:rsidR="00B35F2F" w:rsidRPr="0050725C" w:rsidRDefault="00B35F2F" w:rsidP="0050725C">
            <w:pPr>
              <w:pStyle w:val="NoSpacing"/>
              <w:rPr>
                <w:sz w:val="20"/>
                <w:szCs w:val="20"/>
              </w:rPr>
            </w:pPr>
            <w:r w:rsidRPr="0050725C">
              <w:rPr>
                <w:sz w:val="20"/>
                <w:szCs w:val="20"/>
              </w:rPr>
              <w:t>-3.54</w:t>
            </w:r>
          </w:p>
          <w:p w:rsidR="00B35F2F" w:rsidRPr="0050725C" w:rsidRDefault="00B35F2F" w:rsidP="0050725C">
            <w:pPr>
              <w:pStyle w:val="NoSpacing"/>
              <w:rPr>
                <w:sz w:val="20"/>
                <w:szCs w:val="20"/>
              </w:rPr>
            </w:pPr>
            <w:r w:rsidRPr="0050725C">
              <w:rPr>
                <w:sz w:val="20"/>
                <w:szCs w:val="20"/>
              </w:rPr>
              <w:t>(10.65)</w:t>
            </w:r>
          </w:p>
        </w:tc>
        <w:tc>
          <w:tcPr>
            <w:tcW w:w="1418" w:type="dxa"/>
            <w:vAlign w:val="center"/>
          </w:tcPr>
          <w:p w:rsidR="00B35F2F" w:rsidRDefault="00B35F2F" w:rsidP="0050725C">
            <w:pPr>
              <w:pStyle w:val="NoSpacing"/>
              <w:rPr>
                <w:sz w:val="20"/>
                <w:szCs w:val="20"/>
              </w:rPr>
            </w:pPr>
            <w:r w:rsidRPr="0050725C">
              <w:rPr>
                <w:sz w:val="20"/>
                <w:szCs w:val="20"/>
              </w:rPr>
              <w:t>-66.24</w:t>
            </w:r>
          </w:p>
          <w:p w:rsidR="00B35F2F" w:rsidRPr="0050725C" w:rsidRDefault="00B35F2F" w:rsidP="0050725C">
            <w:pPr>
              <w:pStyle w:val="NoSpacing"/>
              <w:rPr>
                <w:sz w:val="20"/>
                <w:szCs w:val="20"/>
              </w:rPr>
            </w:pPr>
            <w:r w:rsidRPr="0050725C">
              <w:rPr>
                <w:sz w:val="20"/>
                <w:szCs w:val="20"/>
              </w:rPr>
              <w:t xml:space="preserve"> (45.66)</w:t>
            </w:r>
          </w:p>
        </w:tc>
        <w:tc>
          <w:tcPr>
            <w:tcW w:w="1275" w:type="dxa"/>
            <w:gridSpan w:val="2"/>
            <w:vAlign w:val="center"/>
          </w:tcPr>
          <w:p w:rsidR="00B35F2F" w:rsidRPr="0050725C" w:rsidRDefault="00B35F2F" w:rsidP="0050725C">
            <w:pPr>
              <w:pStyle w:val="NoSpacing"/>
              <w:rPr>
                <w:sz w:val="20"/>
                <w:szCs w:val="20"/>
              </w:rPr>
            </w:pPr>
            <w:r w:rsidRPr="0050725C">
              <w:rPr>
                <w:sz w:val="20"/>
                <w:szCs w:val="20"/>
              </w:rPr>
              <w:t>-2.16</w:t>
            </w:r>
          </w:p>
          <w:p w:rsidR="00B35F2F" w:rsidRPr="0050725C" w:rsidRDefault="00B35F2F" w:rsidP="0050725C">
            <w:pPr>
              <w:pStyle w:val="NoSpacing"/>
              <w:rPr>
                <w:sz w:val="20"/>
                <w:szCs w:val="20"/>
              </w:rPr>
            </w:pPr>
            <w:r w:rsidRPr="0050725C">
              <w:rPr>
                <w:sz w:val="20"/>
                <w:szCs w:val="20"/>
              </w:rPr>
              <w:t>(1.36)</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0.16</w:t>
            </w:r>
          </w:p>
          <w:p w:rsidR="00B35F2F" w:rsidRPr="0050725C" w:rsidRDefault="00B35F2F" w:rsidP="0050725C">
            <w:pPr>
              <w:pStyle w:val="NoSpacing"/>
              <w:rPr>
                <w:sz w:val="20"/>
                <w:szCs w:val="20"/>
              </w:rPr>
            </w:pPr>
            <w:r w:rsidRPr="0050725C">
              <w:rPr>
                <w:sz w:val="20"/>
                <w:szCs w:val="20"/>
              </w:rPr>
              <w:t>(0.14)</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-0.08</w:t>
            </w:r>
          </w:p>
          <w:p w:rsidR="00B35F2F" w:rsidRPr="0050725C" w:rsidRDefault="00B35F2F" w:rsidP="0050725C">
            <w:pPr>
              <w:pStyle w:val="NoSpacing"/>
              <w:rPr>
                <w:sz w:val="20"/>
                <w:szCs w:val="20"/>
              </w:rPr>
            </w:pPr>
            <w:r w:rsidRPr="0050725C">
              <w:rPr>
                <w:sz w:val="20"/>
                <w:szCs w:val="20"/>
              </w:rPr>
              <w:t>(0.25)</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-0.10 </w:t>
            </w:r>
            <w:r w:rsidRPr="0050725C">
              <w:rPr>
                <w:sz w:val="20"/>
                <w:szCs w:val="20"/>
              </w:rPr>
              <w:br/>
              <w:t>(0.09)</w:t>
            </w:r>
          </w:p>
        </w:tc>
      </w:tr>
      <w:tr w:rsidR="00B35F2F" w:rsidRPr="0050725C" w:rsidTr="00325D30">
        <w:trPr>
          <w:gridAfter w:val="1"/>
          <w:wAfter w:w="41" w:type="dxa"/>
          <w:trHeight w:val="494"/>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 of 7 Women Respiratory Symptoms </w:t>
            </w:r>
            <w:r w:rsidRPr="0050725C">
              <w:rPr>
                <w:sz w:val="20"/>
                <w:szCs w:val="20"/>
                <w:vertAlign w:val="superscript"/>
              </w:rPr>
              <w:t>a</w:t>
            </w:r>
          </w:p>
        </w:tc>
        <w:tc>
          <w:tcPr>
            <w:tcW w:w="1276" w:type="dxa"/>
            <w:vAlign w:val="center"/>
          </w:tcPr>
          <w:p w:rsidR="00B35F2F" w:rsidRPr="0050725C" w:rsidRDefault="00B35F2F" w:rsidP="0050725C">
            <w:pPr>
              <w:pStyle w:val="NoSpacing"/>
              <w:rPr>
                <w:sz w:val="20"/>
                <w:szCs w:val="20"/>
              </w:rPr>
            </w:pPr>
            <w:r w:rsidRPr="0050725C">
              <w:rPr>
                <w:sz w:val="20"/>
                <w:szCs w:val="20"/>
              </w:rPr>
              <w:t>...</w:t>
            </w:r>
          </w:p>
        </w:tc>
        <w:tc>
          <w:tcPr>
            <w:tcW w:w="1418" w:type="dxa"/>
            <w:vAlign w:val="center"/>
          </w:tcPr>
          <w:p w:rsidR="00B35F2F" w:rsidRPr="0050725C" w:rsidRDefault="00B35F2F" w:rsidP="0050725C">
            <w:pPr>
              <w:pStyle w:val="NoSpacing"/>
              <w:rPr>
                <w:sz w:val="20"/>
                <w:szCs w:val="20"/>
              </w:rPr>
            </w:pPr>
            <w:r w:rsidRPr="0050725C">
              <w:rPr>
                <w:sz w:val="20"/>
                <w:szCs w:val="20"/>
              </w:rPr>
              <w:t>...</w:t>
            </w:r>
          </w:p>
        </w:tc>
        <w:tc>
          <w:tcPr>
            <w:tcW w:w="1275" w:type="dxa"/>
            <w:gridSpan w:val="2"/>
            <w:vAlign w:val="center"/>
          </w:tcPr>
          <w:p w:rsidR="00B35F2F" w:rsidRPr="0050725C" w:rsidRDefault="00B35F2F" w:rsidP="0050725C">
            <w:pPr>
              <w:pStyle w:val="NoSpacing"/>
              <w:rPr>
                <w:sz w:val="20"/>
                <w:szCs w:val="20"/>
              </w:rPr>
            </w:pPr>
            <w:r w:rsidRPr="0050725C">
              <w:rPr>
                <w:sz w:val="20"/>
                <w:szCs w:val="20"/>
              </w:rPr>
              <w:t>0.11</w:t>
            </w:r>
          </w:p>
          <w:p w:rsidR="00B35F2F" w:rsidRPr="0050725C" w:rsidRDefault="00B35F2F" w:rsidP="0050725C">
            <w:pPr>
              <w:pStyle w:val="NoSpacing"/>
              <w:rPr>
                <w:sz w:val="20"/>
                <w:szCs w:val="20"/>
              </w:rPr>
            </w:pPr>
            <w:r w:rsidRPr="0050725C">
              <w:rPr>
                <w:sz w:val="20"/>
                <w:szCs w:val="20"/>
              </w:rPr>
              <w:t>(0.23)</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0.03</w:t>
            </w:r>
          </w:p>
          <w:p w:rsidR="00B35F2F" w:rsidRPr="0050725C" w:rsidRDefault="00B35F2F" w:rsidP="0050725C">
            <w:pPr>
              <w:pStyle w:val="NoSpacing"/>
              <w:rPr>
                <w:sz w:val="20"/>
                <w:szCs w:val="20"/>
              </w:rPr>
            </w:pPr>
            <w:r w:rsidRPr="0050725C">
              <w:rPr>
                <w:sz w:val="20"/>
                <w:szCs w:val="20"/>
              </w:rPr>
              <w:t>(0.02)</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-0.02</w:t>
            </w:r>
          </w:p>
          <w:p w:rsidR="00B35F2F" w:rsidRPr="0050725C" w:rsidRDefault="00B35F2F" w:rsidP="0050725C">
            <w:pPr>
              <w:pStyle w:val="NoSpacing"/>
              <w:rPr>
                <w:sz w:val="20"/>
                <w:szCs w:val="20"/>
              </w:rPr>
            </w:pPr>
            <w:r w:rsidRPr="0050725C">
              <w:rPr>
                <w:sz w:val="20"/>
                <w:szCs w:val="20"/>
              </w:rPr>
              <w:t>(0.00)</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-0.01 </w:t>
            </w:r>
            <w:r w:rsidRPr="0050725C">
              <w:rPr>
                <w:sz w:val="20"/>
                <w:szCs w:val="20"/>
              </w:rPr>
              <w:br/>
              <w:t>(0.01)</w:t>
            </w:r>
          </w:p>
        </w:tc>
      </w:tr>
      <w:tr w:rsidR="00B35F2F" w:rsidRPr="0050725C" w:rsidTr="00325D30">
        <w:trPr>
          <w:gridAfter w:val="1"/>
          <w:wAfter w:w="41" w:type="dxa"/>
          <w:trHeight w:val="416"/>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 of 4 Respiratory Symptoms by Average Child </w:t>
            </w:r>
            <w:r w:rsidRPr="0050725C">
              <w:rPr>
                <w:sz w:val="20"/>
                <w:szCs w:val="20"/>
                <w:vertAlign w:val="superscript"/>
              </w:rPr>
              <w:t>a</w:t>
            </w:r>
          </w:p>
        </w:tc>
        <w:tc>
          <w:tcPr>
            <w:tcW w:w="1276" w:type="dxa"/>
            <w:vAlign w:val="center"/>
          </w:tcPr>
          <w:p w:rsidR="00B35F2F" w:rsidRPr="0050725C" w:rsidRDefault="00B35F2F" w:rsidP="0050725C">
            <w:pPr>
              <w:pStyle w:val="NoSpacing"/>
              <w:rPr>
                <w:sz w:val="20"/>
                <w:szCs w:val="20"/>
              </w:rPr>
            </w:pPr>
            <w:r w:rsidRPr="0050725C">
              <w:rPr>
                <w:sz w:val="20"/>
                <w:szCs w:val="20"/>
              </w:rPr>
              <w:t>...</w:t>
            </w:r>
          </w:p>
        </w:tc>
        <w:tc>
          <w:tcPr>
            <w:tcW w:w="1418" w:type="dxa"/>
            <w:vAlign w:val="center"/>
          </w:tcPr>
          <w:p w:rsidR="00B35F2F" w:rsidRPr="0050725C" w:rsidRDefault="00B35F2F" w:rsidP="0050725C">
            <w:pPr>
              <w:pStyle w:val="NoSpacing"/>
              <w:rPr>
                <w:sz w:val="20"/>
                <w:szCs w:val="20"/>
              </w:rPr>
            </w:pPr>
            <w:r w:rsidRPr="0050725C">
              <w:rPr>
                <w:sz w:val="20"/>
                <w:szCs w:val="20"/>
              </w:rPr>
              <w:t>...</w:t>
            </w:r>
          </w:p>
        </w:tc>
        <w:tc>
          <w:tcPr>
            <w:tcW w:w="1275" w:type="dxa"/>
            <w:gridSpan w:val="2"/>
            <w:vAlign w:val="center"/>
          </w:tcPr>
          <w:p w:rsidR="00B35F2F" w:rsidRPr="0050725C" w:rsidRDefault="00B35F2F" w:rsidP="0050725C">
            <w:pPr>
              <w:pStyle w:val="NoSpacing"/>
              <w:rPr>
                <w:sz w:val="20"/>
                <w:szCs w:val="20"/>
              </w:rPr>
            </w:pPr>
            <w:r w:rsidRPr="0050725C">
              <w:rPr>
                <w:sz w:val="20"/>
                <w:szCs w:val="20"/>
              </w:rPr>
              <w:t>-1.08</w:t>
            </w:r>
          </w:p>
          <w:p w:rsidR="00B35F2F" w:rsidRPr="0050725C" w:rsidRDefault="00B35F2F" w:rsidP="0050725C">
            <w:pPr>
              <w:pStyle w:val="NoSpacing"/>
              <w:rPr>
                <w:sz w:val="20"/>
                <w:szCs w:val="20"/>
              </w:rPr>
            </w:pPr>
            <w:r w:rsidRPr="0050725C">
              <w:rPr>
                <w:sz w:val="20"/>
                <w:szCs w:val="20"/>
              </w:rPr>
              <w:t>(0.70)</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0.04</w:t>
            </w:r>
          </w:p>
          <w:p w:rsidR="00B35F2F" w:rsidRPr="0050725C" w:rsidRDefault="00B35F2F" w:rsidP="0050725C">
            <w:pPr>
              <w:pStyle w:val="NoSpacing"/>
              <w:rPr>
                <w:sz w:val="20"/>
                <w:szCs w:val="20"/>
              </w:rPr>
            </w:pPr>
            <w:r w:rsidRPr="0050725C">
              <w:rPr>
                <w:sz w:val="20"/>
                <w:szCs w:val="20"/>
              </w:rPr>
              <w:t>(0.07)</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0.21</w:t>
            </w:r>
          </w:p>
          <w:p w:rsidR="00B35F2F" w:rsidRPr="0050725C" w:rsidRDefault="00B35F2F" w:rsidP="0050725C">
            <w:pPr>
              <w:pStyle w:val="NoSpacing"/>
              <w:rPr>
                <w:sz w:val="20"/>
                <w:szCs w:val="20"/>
              </w:rPr>
            </w:pPr>
            <w:r w:rsidRPr="0050725C">
              <w:rPr>
                <w:sz w:val="20"/>
                <w:szCs w:val="20"/>
              </w:rPr>
              <w:t>(0.12)</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0.07 </w:t>
            </w:r>
            <w:r w:rsidRPr="0050725C">
              <w:rPr>
                <w:sz w:val="20"/>
                <w:szCs w:val="20"/>
              </w:rPr>
              <w:br/>
              <w:t>(0.04)</w:t>
            </w:r>
          </w:p>
        </w:tc>
      </w:tr>
      <w:tr w:rsidR="00B35F2F" w:rsidRPr="0050725C" w:rsidTr="00325D30">
        <w:trPr>
          <w:gridAfter w:val="1"/>
          <w:wAfter w:w="41" w:type="dxa"/>
          <w:trHeight w:val="507"/>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Minutes per day next to cook fire in preparing 3 meals </w:t>
            </w:r>
            <w:r w:rsidRPr="0050725C">
              <w:rPr>
                <w:sz w:val="20"/>
                <w:szCs w:val="20"/>
                <w:vertAlign w:val="superscript"/>
              </w:rPr>
              <w:t>a</w:t>
            </w:r>
          </w:p>
        </w:tc>
        <w:tc>
          <w:tcPr>
            <w:tcW w:w="1276" w:type="dxa"/>
            <w:vAlign w:val="center"/>
          </w:tcPr>
          <w:p w:rsidR="00B35F2F" w:rsidRPr="0050725C" w:rsidRDefault="00B35F2F" w:rsidP="0050725C">
            <w:pPr>
              <w:pStyle w:val="NoSpacing"/>
              <w:rPr>
                <w:sz w:val="20"/>
                <w:szCs w:val="20"/>
              </w:rPr>
            </w:pPr>
            <w:r w:rsidRPr="0050725C">
              <w:rPr>
                <w:sz w:val="20"/>
                <w:szCs w:val="20"/>
              </w:rPr>
              <w:t>0.02</w:t>
            </w:r>
          </w:p>
          <w:p w:rsidR="00B35F2F" w:rsidRPr="0050725C" w:rsidRDefault="00B35F2F" w:rsidP="0050725C">
            <w:pPr>
              <w:pStyle w:val="NoSpacing"/>
              <w:rPr>
                <w:sz w:val="20"/>
                <w:szCs w:val="20"/>
              </w:rPr>
            </w:pPr>
            <w:r w:rsidRPr="0050725C">
              <w:rPr>
                <w:sz w:val="20"/>
                <w:szCs w:val="20"/>
              </w:rPr>
              <w:t>(0.04)</w:t>
            </w:r>
          </w:p>
        </w:tc>
        <w:tc>
          <w:tcPr>
            <w:tcW w:w="1418" w:type="dxa"/>
            <w:vAlign w:val="center"/>
          </w:tcPr>
          <w:p w:rsidR="00B35F2F" w:rsidRPr="0050725C" w:rsidRDefault="00B35F2F" w:rsidP="0050725C">
            <w:pPr>
              <w:pStyle w:val="NoSpacing"/>
              <w:rPr>
                <w:sz w:val="20"/>
                <w:szCs w:val="20"/>
              </w:rPr>
            </w:pPr>
            <w:r w:rsidRPr="0050725C">
              <w:rPr>
                <w:sz w:val="20"/>
                <w:szCs w:val="20"/>
              </w:rPr>
              <w:t>0.00</w:t>
            </w:r>
          </w:p>
          <w:p w:rsidR="00B35F2F" w:rsidRPr="0050725C" w:rsidRDefault="00B35F2F" w:rsidP="0050725C">
            <w:pPr>
              <w:pStyle w:val="NoSpacing"/>
              <w:rPr>
                <w:sz w:val="20"/>
                <w:szCs w:val="20"/>
              </w:rPr>
            </w:pPr>
            <w:r w:rsidRPr="0050725C">
              <w:rPr>
                <w:sz w:val="20"/>
                <w:szCs w:val="20"/>
              </w:rPr>
              <w:t>(0.16)</w:t>
            </w:r>
          </w:p>
        </w:tc>
        <w:tc>
          <w:tcPr>
            <w:tcW w:w="1275" w:type="dxa"/>
            <w:gridSpan w:val="2"/>
            <w:vAlign w:val="center"/>
          </w:tcPr>
          <w:p w:rsidR="00B35F2F" w:rsidRPr="0050725C" w:rsidRDefault="00B35F2F" w:rsidP="0050725C">
            <w:pPr>
              <w:pStyle w:val="NoSpacing"/>
              <w:rPr>
                <w:sz w:val="20"/>
                <w:szCs w:val="20"/>
              </w:rPr>
            </w:pPr>
            <w:r w:rsidRPr="0050725C">
              <w:rPr>
                <w:sz w:val="20"/>
                <w:szCs w:val="20"/>
              </w:rPr>
              <w:t>0.01</w:t>
            </w:r>
          </w:p>
          <w:p w:rsidR="00B35F2F" w:rsidRPr="0050725C" w:rsidRDefault="00B35F2F" w:rsidP="0050725C">
            <w:pPr>
              <w:pStyle w:val="NoSpacing"/>
              <w:rPr>
                <w:sz w:val="20"/>
                <w:szCs w:val="20"/>
              </w:rPr>
            </w:pPr>
            <w:r w:rsidRPr="0050725C">
              <w:rPr>
                <w:sz w:val="20"/>
                <w:szCs w:val="20"/>
              </w:rPr>
              <w:t>(0.00)</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-0.01</w:t>
            </w:r>
          </w:p>
          <w:p w:rsidR="00B35F2F" w:rsidRPr="0050725C" w:rsidRDefault="00B35F2F" w:rsidP="0050725C">
            <w:pPr>
              <w:pStyle w:val="NoSpacing"/>
              <w:rPr>
                <w:sz w:val="20"/>
                <w:szCs w:val="20"/>
              </w:rPr>
            </w:pPr>
            <w:r w:rsidRPr="0050725C">
              <w:rPr>
                <w:sz w:val="20"/>
                <w:szCs w:val="20"/>
              </w:rPr>
              <w:t>(0.00)</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-0.01</w:t>
            </w:r>
          </w:p>
          <w:p w:rsidR="00B35F2F" w:rsidRPr="0050725C" w:rsidRDefault="00B35F2F" w:rsidP="0050725C">
            <w:pPr>
              <w:pStyle w:val="NoSpacing"/>
              <w:rPr>
                <w:sz w:val="20"/>
                <w:szCs w:val="20"/>
              </w:rPr>
            </w:pPr>
            <w:r w:rsidRPr="0050725C">
              <w:rPr>
                <w:sz w:val="20"/>
                <w:szCs w:val="20"/>
              </w:rPr>
              <w:t>(0.00)</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0.00 </w:t>
            </w:r>
            <w:r w:rsidRPr="0050725C">
              <w:rPr>
                <w:sz w:val="20"/>
                <w:szCs w:val="20"/>
              </w:rPr>
              <w:br/>
              <w:t>(0.00)</w:t>
            </w:r>
          </w:p>
        </w:tc>
      </w:tr>
      <w:tr w:rsidR="00B35F2F" w:rsidRPr="0050725C" w:rsidTr="00325D30">
        <w:trPr>
          <w:gridAfter w:val="1"/>
          <w:wAfter w:w="41" w:type="dxa"/>
          <w:trHeight w:val="415"/>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Min/week entire household collects wood </w:t>
            </w:r>
            <w:r w:rsidRPr="0050725C">
              <w:rPr>
                <w:sz w:val="20"/>
                <w:szCs w:val="20"/>
                <w:vertAlign w:val="superscript"/>
              </w:rPr>
              <w:t>a</w:t>
            </w:r>
          </w:p>
        </w:tc>
        <w:tc>
          <w:tcPr>
            <w:tcW w:w="1276" w:type="dxa"/>
            <w:noWrap/>
            <w:vAlign w:val="center"/>
          </w:tcPr>
          <w:p w:rsidR="00B35F2F" w:rsidRPr="0050725C" w:rsidRDefault="00B35F2F" w:rsidP="0050725C">
            <w:pPr>
              <w:pStyle w:val="NoSpacing"/>
              <w:rPr>
                <w:sz w:val="20"/>
                <w:szCs w:val="20"/>
              </w:rPr>
            </w:pPr>
            <w:r w:rsidRPr="0050725C">
              <w:rPr>
                <w:sz w:val="20"/>
                <w:szCs w:val="20"/>
              </w:rPr>
              <w:t>...</w:t>
            </w:r>
          </w:p>
        </w:tc>
        <w:tc>
          <w:tcPr>
            <w:tcW w:w="1418" w:type="dxa"/>
            <w:vAlign w:val="center"/>
          </w:tcPr>
          <w:p w:rsidR="00B35F2F" w:rsidRPr="0050725C" w:rsidRDefault="00B35F2F" w:rsidP="0050725C">
            <w:pPr>
              <w:pStyle w:val="NoSpacing"/>
              <w:rPr>
                <w:sz w:val="20"/>
                <w:szCs w:val="20"/>
              </w:rPr>
            </w:pPr>
            <w:r w:rsidRPr="0050725C">
              <w:rPr>
                <w:sz w:val="20"/>
                <w:szCs w:val="20"/>
              </w:rPr>
              <w:t>-0.01</w:t>
            </w:r>
          </w:p>
          <w:p w:rsidR="00B35F2F" w:rsidRPr="0050725C" w:rsidRDefault="00B35F2F" w:rsidP="0050725C">
            <w:pPr>
              <w:pStyle w:val="NoSpacing"/>
              <w:rPr>
                <w:sz w:val="20"/>
                <w:szCs w:val="20"/>
              </w:rPr>
            </w:pPr>
            <w:r w:rsidRPr="0050725C">
              <w:rPr>
                <w:sz w:val="20"/>
                <w:szCs w:val="20"/>
              </w:rPr>
              <w:t>(0.03)</w:t>
            </w:r>
          </w:p>
        </w:tc>
        <w:tc>
          <w:tcPr>
            <w:tcW w:w="1275" w:type="dxa"/>
            <w:gridSpan w:val="2"/>
            <w:noWrap/>
            <w:vAlign w:val="center"/>
          </w:tcPr>
          <w:p w:rsidR="00B35F2F" w:rsidRPr="0050725C" w:rsidRDefault="00B35F2F" w:rsidP="0050725C">
            <w:pPr>
              <w:pStyle w:val="NoSpacing"/>
              <w:rPr>
                <w:sz w:val="20"/>
                <w:szCs w:val="20"/>
              </w:rPr>
            </w:pPr>
            <w:r w:rsidRPr="0050725C">
              <w:rPr>
                <w:sz w:val="20"/>
                <w:szCs w:val="20"/>
              </w:rPr>
              <w:t>...</w:t>
            </w:r>
          </w:p>
        </w:tc>
        <w:tc>
          <w:tcPr>
            <w:tcW w:w="1418" w:type="dxa"/>
            <w:noWrap/>
            <w:vAlign w:val="center"/>
          </w:tcPr>
          <w:p w:rsidR="00B35F2F" w:rsidRPr="0050725C" w:rsidRDefault="00B35F2F" w:rsidP="0050725C">
            <w:pPr>
              <w:pStyle w:val="NoSpacing"/>
              <w:rPr>
                <w:sz w:val="20"/>
                <w:szCs w:val="20"/>
              </w:rPr>
            </w:pPr>
            <w:r w:rsidRPr="0050725C">
              <w:rPr>
                <w:sz w:val="20"/>
                <w:szCs w:val="20"/>
              </w:rPr>
              <w:t>...</w:t>
            </w:r>
          </w:p>
        </w:tc>
        <w:tc>
          <w:tcPr>
            <w:tcW w:w="1417" w:type="dxa"/>
            <w:noWrap/>
            <w:vAlign w:val="center"/>
          </w:tcPr>
          <w:p w:rsidR="00B35F2F" w:rsidRPr="0050725C" w:rsidRDefault="00B35F2F" w:rsidP="0050725C">
            <w:pPr>
              <w:pStyle w:val="NoSpacing"/>
              <w:rPr>
                <w:sz w:val="20"/>
                <w:szCs w:val="20"/>
              </w:rPr>
            </w:pPr>
            <w:r w:rsidRPr="0050725C">
              <w:rPr>
                <w:sz w:val="20"/>
                <w:szCs w:val="20"/>
              </w:rPr>
              <w:t>...</w:t>
            </w:r>
          </w:p>
        </w:tc>
        <w:tc>
          <w:tcPr>
            <w:tcW w:w="1276" w:type="dxa"/>
            <w:vAlign w:val="center"/>
          </w:tcPr>
          <w:p w:rsidR="00B35F2F" w:rsidRPr="0050725C" w:rsidRDefault="00B35F2F" w:rsidP="0050725C">
            <w:pPr>
              <w:pStyle w:val="NoSpacing"/>
              <w:rPr>
                <w:sz w:val="20"/>
                <w:szCs w:val="20"/>
              </w:rPr>
            </w:pPr>
            <w:r w:rsidRPr="0050725C">
              <w:rPr>
                <w:sz w:val="20"/>
                <w:szCs w:val="20"/>
              </w:rPr>
              <w:t>...</w:t>
            </w:r>
          </w:p>
        </w:tc>
      </w:tr>
      <w:tr w:rsidR="00B35F2F" w:rsidRPr="0050725C" w:rsidTr="00325D30">
        <w:trPr>
          <w:gridAfter w:val="1"/>
          <w:wAfter w:w="41" w:type="dxa"/>
          <w:trHeight w:val="413"/>
          <w:jc w:val="center"/>
        </w:trPr>
        <w:tc>
          <w:tcPr>
            <w:tcW w:w="2552" w:type="dxa"/>
            <w:gridSpan w:val="2"/>
            <w:vAlign w:val="center"/>
          </w:tcPr>
          <w:p w:rsidR="00B35F2F" w:rsidRPr="0050725C" w:rsidRDefault="00B35F2F" w:rsidP="0050725C">
            <w:pPr>
              <w:pStyle w:val="NoSpacing"/>
              <w:rPr>
                <w:sz w:val="20"/>
                <w:szCs w:val="20"/>
              </w:rPr>
            </w:pPr>
            <w:r w:rsidRPr="0050725C">
              <w:rPr>
                <w:sz w:val="20"/>
                <w:szCs w:val="20"/>
              </w:rPr>
              <w:t xml:space="preserve"># of Husband's Respiratory Symptoms </w:t>
            </w:r>
            <w:r w:rsidRPr="0050725C">
              <w:rPr>
                <w:sz w:val="20"/>
                <w:szCs w:val="20"/>
                <w:vertAlign w:val="superscript"/>
              </w:rPr>
              <w:t>b</w:t>
            </w:r>
          </w:p>
        </w:tc>
        <w:tc>
          <w:tcPr>
            <w:tcW w:w="1276" w:type="dxa"/>
            <w:noWrap/>
            <w:vAlign w:val="center"/>
          </w:tcPr>
          <w:p w:rsidR="00B35F2F" w:rsidRPr="0050725C" w:rsidRDefault="00B35F2F" w:rsidP="0050725C">
            <w:pPr>
              <w:pStyle w:val="NoSpacing"/>
              <w:rPr>
                <w:sz w:val="20"/>
                <w:szCs w:val="20"/>
              </w:rPr>
            </w:pPr>
            <w:r w:rsidRPr="0050725C">
              <w:rPr>
                <w:sz w:val="20"/>
                <w:szCs w:val="20"/>
              </w:rPr>
              <w:t>...</w:t>
            </w:r>
          </w:p>
        </w:tc>
        <w:tc>
          <w:tcPr>
            <w:tcW w:w="1418" w:type="dxa"/>
            <w:noWrap/>
            <w:vAlign w:val="center"/>
          </w:tcPr>
          <w:p w:rsidR="00B35F2F" w:rsidRPr="0050725C" w:rsidRDefault="00B35F2F" w:rsidP="0050725C">
            <w:pPr>
              <w:pStyle w:val="NoSpacing"/>
              <w:rPr>
                <w:sz w:val="20"/>
                <w:szCs w:val="20"/>
              </w:rPr>
            </w:pPr>
            <w:r w:rsidRPr="0050725C">
              <w:rPr>
                <w:sz w:val="20"/>
                <w:szCs w:val="20"/>
              </w:rPr>
              <w:t>...</w:t>
            </w:r>
          </w:p>
        </w:tc>
        <w:tc>
          <w:tcPr>
            <w:tcW w:w="1275" w:type="dxa"/>
            <w:gridSpan w:val="2"/>
            <w:noWrap/>
            <w:vAlign w:val="center"/>
          </w:tcPr>
          <w:p w:rsidR="00B35F2F" w:rsidRPr="0050725C" w:rsidRDefault="00B35F2F" w:rsidP="0050725C">
            <w:pPr>
              <w:pStyle w:val="NoSpacing"/>
              <w:rPr>
                <w:sz w:val="20"/>
                <w:szCs w:val="20"/>
              </w:rPr>
            </w:pPr>
            <w:r w:rsidRPr="0050725C">
              <w:rPr>
                <w:sz w:val="20"/>
                <w:szCs w:val="20"/>
              </w:rPr>
              <w:t>...</w:t>
            </w:r>
          </w:p>
        </w:tc>
        <w:tc>
          <w:tcPr>
            <w:tcW w:w="1418" w:type="dxa"/>
            <w:shd w:val="clear" w:color="000000" w:fill="FFFFFF"/>
            <w:vAlign w:val="center"/>
          </w:tcPr>
          <w:p w:rsidR="00B35F2F" w:rsidRPr="0050725C" w:rsidRDefault="00B35F2F" w:rsidP="0050725C">
            <w:pPr>
              <w:pStyle w:val="NoSpacing"/>
              <w:rPr>
                <w:sz w:val="20"/>
                <w:szCs w:val="20"/>
              </w:rPr>
            </w:pPr>
            <w:r w:rsidRPr="0050725C">
              <w:rPr>
                <w:sz w:val="20"/>
                <w:szCs w:val="20"/>
              </w:rPr>
              <w:t>0.06</w:t>
            </w:r>
          </w:p>
          <w:p w:rsidR="00B35F2F" w:rsidRPr="0050725C" w:rsidRDefault="00B35F2F" w:rsidP="0050725C">
            <w:pPr>
              <w:pStyle w:val="NoSpacing"/>
              <w:rPr>
                <w:sz w:val="20"/>
                <w:szCs w:val="20"/>
              </w:rPr>
            </w:pPr>
            <w:r w:rsidRPr="0050725C">
              <w:rPr>
                <w:sz w:val="20"/>
                <w:szCs w:val="20"/>
              </w:rPr>
              <w:t>(0.02)**</w:t>
            </w:r>
          </w:p>
        </w:tc>
        <w:tc>
          <w:tcPr>
            <w:tcW w:w="1417" w:type="dxa"/>
            <w:shd w:val="clear" w:color="000000" w:fill="FFFFFF"/>
            <w:vAlign w:val="center"/>
          </w:tcPr>
          <w:p w:rsidR="00B35F2F" w:rsidRPr="0050725C" w:rsidRDefault="00B35F2F" w:rsidP="0050725C">
            <w:pPr>
              <w:pStyle w:val="NoSpacing"/>
              <w:rPr>
                <w:sz w:val="20"/>
                <w:szCs w:val="20"/>
              </w:rPr>
            </w:pPr>
            <w:r w:rsidRPr="0050725C">
              <w:rPr>
                <w:sz w:val="20"/>
                <w:szCs w:val="20"/>
              </w:rPr>
              <w:t>0.27 (0.04)***</w:t>
            </w:r>
          </w:p>
        </w:tc>
        <w:tc>
          <w:tcPr>
            <w:tcW w:w="1276" w:type="dxa"/>
            <w:vAlign w:val="center"/>
          </w:tcPr>
          <w:p w:rsidR="00B35F2F" w:rsidRPr="0050725C" w:rsidRDefault="00B35F2F" w:rsidP="0050725C">
            <w:pPr>
              <w:pStyle w:val="NoSpacing"/>
              <w:rPr>
                <w:sz w:val="20"/>
                <w:szCs w:val="20"/>
              </w:rPr>
            </w:pPr>
            <w:r w:rsidRPr="0050725C">
              <w:rPr>
                <w:sz w:val="20"/>
                <w:szCs w:val="20"/>
              </w:rPr>
              <w:t xml:space="preserve">0.01 </w:t>
            </w:r>
            <w:r w:rsidRPr="0050725C">
              <w:rPr>
                <w:sz w:val="20"/>
                <w:szCs w:val="20"/>
              </w:rPr>
              <w:br/>
              <w:t>(0.01)</w:t>
            </w:r>
          </w:p>
        </w:tc>
      </w:tr>
      <w:tr w:rsidR="00B35F2F" w:rsidRPr="0050725C" w:rsidTr="00DD3987">
        <w:trPr>
          <w:gridAfter w:val="1"/>
          <w:wAfter w:w="41" w:type="dxa"/>
          <w:trHeight w:val="595"/>
          <w:jc w:val="center"/>
        </w:trPr>
        <w:tc>
          <w:tcPr>
            <w:tcW w:w="2552" w:type="dxa"/>
            <w:gridSpan w:val="2"/>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Constant</w:t>
            </w:r>
          </w:p>
        </w:tc>
        <w:tc>
          <w:tcPr>
            <w:tcW w:w="1276" w:type="dxa"/>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188.83*** (40.66)</w:t>
            </w:r>
          </w:p>
        </w:tc>
        <w:tc>
          <w:tcPr>
            <w:tcW w:w="1418" w:type="dxa"/>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184.85 (177.41)</w:t>
            </w:r>
          </w:p>
        </w:tc>
        <w:tc>
          <w:tcPr>
            <w:tcW w:w="1275" w:type="dxa"/>
            <w:gridSpan w:val="2"/>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11.52</w:t>
            </w:r>
          </w:p>
          <w:p w:rsidR="00B35F2F" w:rsidRPr="0050725C" w:rsidRDefault="00B35F2F" w:rsidP="0050725C">
            <w:pPr>
              <w:pStyle w:val="NoSpacing"/>
              <w:rPr>
                <w:sz w:val="20"/>
                <w:szCs w:val="20"/>
              </w:rPr>
            </w:pPr>
            <w:r w:rsidRPr="0050725C">
              <w:rPr>
                <w:sz w:val="20"/>
                <w:szCs w:val="20"/>
              </w:rPr>
              <w:t>(5.46)*</w:t>
            </w:r>
          </w:p>
        </w:tc>
        <w:tc>
          <w:tcPr>
            <w:tcW w:w="1418" w:type="dxa"/>
            <w:tcBorders>
              <w:bottom w:val="single" w:sz="4" w:space="0" w:color="auto"/>
            </w:tcBorders>
            <w:shd w:val="clear" w:color="000000" w:fill="FFFFFF"/>
            <w:vAlign w:val="center"/>
          </w:tcPr>
          <w:p w:rsidR="00B35F2F" w:rsidRPr="0050725C" w:rsidRDefault="00B35F2F" w:rsidP="0050725C">
            <w:pPr>
              <w:pStyle w:val="NoSpacing"/>
              <w:rPr>
                <w:sz w:val="20"/>
                <w:szCs w:val="20"/>
              </w:rPr>
            </w:pPr>
            <w:r w:rsidRPr="0050725C">
              <w:rPr>
                <w:sz w:val="20"/>
                <w:szCs w:val="20"/>
              </w:rPr>
              <w:t>1.92</w:t>
            </w:r>
          </w:p>
          <w:p w:rsidR="00B35F2F" w:rsidRPr="0050725C" w:rsidRDefault="00B35F2F" w:rsidP="0050725C">
            <w:pPr>
              <w:pStyle w:val="NoSpacing"/>
              <w:rPr>
                <w:sz w:val="20"/>
                <w:szCs w:val="20"/>
              </w:rPr>
            </w:pPr>
            <w:r w:rsidRPr="0050725C">
              <w:rPr>
                <w:sz w:val="20"/>
                <w:szCs w:val="20"/>
              </w:rPr>
              <w:t>(0.59)**</w:t>
            </w:r>
          </w:p>
        </w:tc>
        <w:tc>
          <w:tcPr>
            <w:tcW w:w="1417" w:type="dxa"/>
            <w:tcBorders>
              <w:bottom w:val="single" w:sz="4" w:space="0" w:color="auto"/>
            </w:tcBorders>
            <w:shd w:val="clear" w:color="000000" w:fill="FFFFFF"/>
            <w:vAlign w:val="center"/>
          </w:tcPr>
          <w:p w:rsidR="00B35F2F" w:rsidRPr="0050725C" w:rsidRDefault="00B35F2F" w:rsidP="0050725C">
            <w:pPr>
              <w:pStyle w:val="NoSpacing"/>
              <w:rPr>
                <w:sz w:val="20"/>
                <w:szCs w:val="20"/>
              </w:rPr>
            </w:pPr>
            <w:r w:rsidRPr="0050725C">
              <w:rPr>
                <w:sz w:val="20"/>
                <w:szCs w:val="20"/>
              </w:rPr>
              <w:t>3.78 (1.01)***</w:t>
            </w:r>
          </w:p>
        </w:tc>
        <w:tc>
          <w:tcPr>
            <w:tcW w:w="1276" w:type="dxa"/>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 xml:space="preserve">0.42 </w:t>
            </w:r>
            <w:r w:rsidRPr="0050725C">
              <w:rPr>
                <w:sz w:val="20"/>
                <w:szCs w:val="20"/>
              </w:rPr>
              <w:br/>
              <w:t>(0.35)</w:t>
            </w:r>
          </w:p>
        </w:tc>
      </w:tr>
      <w:tr w:rsidR="00B35F2F" w:rsidRPr="0050725C" w:rsidTr="00325D30">
        <w:trPr>
          <w:gridAfter w:val="1"/>
          <w:wAfter w:w="41" w:type="dxa"/>
          <w:trHeight w:val="291"/>
          <w:jc w:val="center"/>
        </w:trPr>
        <w:tc>
          <w:tcPr>
            <w:tcW w:w="2552" w:type="dxa"/>
            <w:gridSpan w:val="2"/>
            <w:tcBorders>
              <w:top w:val="single" w:sz="4" w:space="0" w:color="auto"/>
              <w:left w:val="nil"/>
            </w:tcBorders>
            <w:vAlign w:val="center"/>
          </w:tcPr>
          <w:p w:rsidR="00B35F2F" w:rsidRPr="0050725C" w:rsidRDefault="00B35F2F" w:rsidP="0050725C">
            <w:pPr>
              <w:pStyle w:val="NoSpacing"/>
              <w:rPr>
                <w:sz w:val="20"/>
                <w:szCs w:val="20"/>
              </w:rPr>
            </w:pPr>
            <w:r w:rsidRPr="0050725C">
              <w:rPr>
                <w:sz w:val="20"/>
                <w:szCs w:val="20"/>
              </w:rPr>
              <w:t>R</w:t>
            </w:r>
            <w:r w:rsidRPr="0050725C">
              <w:rPr>
                <w:sz w:val="20"/>
                <w:szCs w:val="20"/>
                <w:vertAlign w:val="superscript"/>
              </w:rPr>
              <w:t>2</w:t>
            </w:r>
          </w:p>
        </w:tc>
        <w:tc>
          <w:tcPr>
            <w:tcW w:w="1276" w:type="dxa"/>
            <w:tcBorders>
              <w:top w:val="single" w:sz="4" w:space="0" w:color="auto"/>
            </w:tcBorders>
            <w:vAlign w:val="center"/>
          </w:tcPr>
          <w:p w:rsidR="00B35F2F" w:rsidRPr="0050725C" w:rsidRDefault="00B35F2F" w:rsidP="0050725C">
            <w:pPr>
              <w:pStyle w:val="NoSpacing"/>
              <w:rPr>
                <w:sz w:val="20"/>
                <w:szCs w:val="20"/>
              </w:rPr>
            </w:pPr>
            <w:r w:rsidRPr="0050725C">
              <w:rPr>
                <w:sz w:val="20"/>
                <w:szCs w:val="20"/>
              </w:rPr>
              <w:t>0.100</w:t>
            </w:r>
          </w:p>
        </w:tc>
        <w:tc>
          <w:tcPr>
            <w:tcW w:w="1418" w:type="dxa"/>
            <w:tcBorders>
              <w:top w:val="single" w:sz="4" w:space="0" w:color="auto"/>
            </w:tcBorders>
            <w:vAlign w:val="center"/>
          </w:tcPr>
          <w:p w:rsidR="00B35F2F" w:rsidRPr="0050725C" w:rsidRDefault="00B35F2F" w:rsidP="0050725C">
            <w:pPr>
              <w:pStyle w:val="NoSpacing"/>
              <w:rPr>
                <w:sz w:val="20"/>
                <w:szCs w:val="20"/>
              </w:rPr>
            </w:pPr>
            <w:r w:rsidRPr="0050725C">
              <w:rPr>
                <w:sz w:val="20"/>
                <w:szCs w:val="20"/>
              </w:rPr>
              <w:t>0.141</w:t>
            </w:r>
          </w:p>
        </w:tc>
        <w:tc>
          <w:tcPr>
            <w:tcW w:w="1275" w:type="dxa"/>
            <w:gridSpan w:val="2"/>
            <w:tcBorders>
              <w:top w:val="single" w:sz="4" w:space="0" w:color="auto"/>
            </w:tcBorders>
            <w:vAlign w:val="center"/>
          </w:tcPr>
          <w:p w:rsidR="00B35F2F" w:rsidRPr="0050725C" w:rsidRDefault="00B35F2F" w:rsidP="0050725C">
            <w:pPr>
              <w:pStyle w:val="NoSpacing"/>
              <w:rPr>
                <w:sz w:val="20"/>
                <w:szCs w:val="20"/>
              </w:rPr>
            </w:pPr>
            <w:r w:rsidRPr="0050725C">
              <w:rPr>
                <w:sz w:val="20"/>
                <w:szCs w:val="20"/>
              </w:rPr>
              <w:t xml:space="preserve">0.294 </w:t>
            </w:r>
          </w:p>
        </w:tc>
        <w:tc>
          <w:tcPr>
            <w:tcW w:w="1418" w:type="dxa"/>
            <w:tcBorders>
              <w:top w:val="single" w:sz="4" w:space="0" w:color="auto"/>
            </w:tcBorders>
            <w:shd w:val="clear" w:color="000000" w:fill="FFFFFF"/>
            <w:vAlign w:val="center"/>
          </w:tcPr>
          <w:p w:rsidR="00B35F2F" w:rsidRPr="0050725C" w:rsidRDefault="00B35F2F" w:rsidP="0050725C">
            <w:pPr>
              <w:pStyle w:val="NoSpacing"/>
              <w:rPr>
                <w:sz w:val="20"/>
                <w:szCs w:val="20"/>
              </w:rPr>
            </w:pPr>
            <w:r w:rsidRPr="0050725C">
              <w:rPr>
                <w:sz w:val="20"/>
                <w:szCs w:val="20"/>
              </w:rPr>
              <w:t>0.106</w:t>
            </w:r>
          </w:p>
        </w:tc>
        <w:tc>
          <w:tcPr>
            <w:tcW w:w="1417" w:type="dxa"/>
            <w:tcBorders>
              <w:top w:val="single" w:sz="4" w:space="0" w:color="auto"/>
            </w:tcBorders>
            <w:shd w:val="clear" w:color="000000" w:fill="FFFFFF"/>
            <w:vAlign w:val="center"/>
          </w:tcPr>
          <w:p w:rsidR="00B35F2F" w:rsidRPr="0050725C" w:rsidRDefault="00B35F2F" w:rsidP="0050725C">
            <w:pPr>
              <w:pStyle w:val="NoSpacing"/>
              <w:rPr>
                <w:sz w:val="20"/>
                <w:szCs w:val="20"/>
              </w:rPr>
            </w:pPr>
            <w:r w:rsidRPr="0050725C">
              <w:rPr>
                <w:sz w:val="20"/>
                <w:szCs w:val="20"/>
              </w:rPr>
              <w:t>0.139</w:t>
            </w:r>
          </w:p>
        </w:tc>
        <w:tc>
          <w:tcPr>
            <w:tcW w:w="1276" w:type="dxa"/>
            <w:tcBorders>
              <w:top w:val="single" w:sz="4" w:space="0" w:color="auto"/>
            </w:tcBorders>
            <w:vAlign w:val="center"/>
          </w:tcPr>
          <w:p w:rsidR="00B35F2F" w:rsidRPr="0050725C" w:rsidRDefault="00B35F2F" w:rsidP="0050725C">
            <w:pPr>
              <w:pStyle w:val="NoSpacing"/>
              <w:rPr>
                <w:sz w:val="20"/>
                <w:szCs w:val="20"/>
              </w:rPr>
            </w:pPr>
            <w:r w:rsidRPr="0050725C">
              <w:rPr>
                <w:sz w:val="20"/>
                <w:szCs w:val="20"/>
              </w:rPr>
              <w:t>0.299</w:t>
            </w:r>
          </w:p>
        </w:tc>
      </w:tr>
      <w:tr w:rsidR="00B35F2F" w:rsidRPr="0050725C" w:rsidTr="00325D30">
        <w:trPr>
          <w:gridAfter w:val="1"/>
          <w:wAfter w:w="41" w:type="dxa"/>
          <w:trHeight w:val="291"/>
          <w:jc w:val="center"/>
        </w:trPr>
        <w:tc>
          <w:tcPr>
            <w:tcW w:w="2552" w:type="dxa"/>
            <w:gridSpan w:val="2"/>
            <w:tcBorders>
              <w:top w:val="nil"/>
              <w:left w:val="nil"/>
              <w:bottom w:val="single" w:sz="4" w:space="0" w:color="auto"/>
            </w:tcBorders>
            <w:vAlign w:val="center"/>
          </w:tcPr>
          <w:p w:rsidR="00B35F2F" w:rsidRPr="0050725C" w:rsidRDefault="00B35F2F" w:rsidP="0050725C">
            <w:pPr>
              <w:pStyle w:val="NoSpacing"/>
              <w:rPr>
                <w:sz w:val="20"/>
                <w:szCs w:val="20"/>
              </w:rPr>
            </w:pPr>
            <w:r w:rsidRPr="0050725C">
              <w:rPr>
                <w:sz w:val="20"/>
                <w:szCs w:val="20"/>
              </w:rPr>
              <w:lastRenderedPageBreak/>
              <w:t>Observations</w:t>
            </w:r>
          </w:p>
        </w:tc>
        <w:tc>
          <w:tcPr>
            <w:tcW w:w="1276" w:type="dxa"/>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 xml:space="preserve">701 </w:t>
            </w:r>
          </w:p>
        </w:tc>
        <w:tc>
          <w:tcPr>
            <w:tcW w:w="1418" w:type="dxa"/>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704</w:t>
            </w:r>
          </w:p>
        </w:tc>
        <w:tc>
          <w:tcPr>
            <w:tcW w:w="1275" w:type="dxa"/>
            <w:gridSpan w:val="2"/>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250</w:t>
            </w:r>
          </w:p>
        </w:tc>
        <w:tc>
          <w:tcPr>
            <w:tcW w:w="1418" w:type="dxa"/>
            <w:tcBorders>
              <w:bottom w:val="single" w:sz="4" w:space="0" w:color="auto"/>
            </w:tcBorders>
            <w:shd w:val="clear" w:color="000000" w:fill="FFFFFF"/>
            <w:vAlign w:val="center"/>
          </w:tcPr>
          <w:p w:rsidR="00B35F2F" w:rsidRPr="0050725C" w:rsidRDefault="00B35F2F" w:rsidP="0050725C">
            <w:pPr>
              <w:pStyle w:val="NoSpacing"/>
              <w:rPr>
                <w:sz w:val="20"/>
                <w:szCs w:val="20"/>
              </w:rPr>
            </w:pPr>
            <w:r w:rsidRPr="0050725C">
              <w:rPr>
                <w:sz w:val="20"/>
                <w:szCs w:val="20"/>
              </w:rPr>
              <w:t>701</w:t>
            </w:r>
          </w:p>
        </w:tc>
        <w:tc>
          <w:tcPr>
            <w:tcW w:w="1417" w:type="dxa"/>
            <w:tcBorders>
              <w:bottom w:val="single" w:sz="4" w:space="0" w:color="auto"/>
            </w:tcBorders>
            <w:shd w:val="clear" w:color="000000" w:fill="FFFFFF"/>
            <w:vAlign w:val="center"/>
          </w:tcPr>
          <w:p w:rsidR="00B35F2F" w:rsidRPr="0050725C" w:rsidRDefault="00B35F2F" w:rsidP="0050725C">
            <w:pPr>
              <w:pStyle w:val="NoSpacing"/>
              <w:rPr>
                <w:sz w:val="20"/>
                <w:szCs w:val="20"/>
              </w:rPr>
            </w:pPr>
            <w:r w:rsidRPr="0050725C">
              <w:rPr>
                <w:sz w:val="20"/>
                <w:szCs w:val="20"/>
              </w:rPr>
              <w:t>701</w:t>
            </w:r>
          </w:p>
        </w:tc>
        <w:tc>
          <w:tcPr>
            <w:tcW w:w="1276" w:type="dxa"/>
            <w:tcBorders>
              <w:bottom w:val="single" w:sz="4" w:space="0" w:color="auto"/>
            </w:tcBorders>
            <w:vAlign w:val="center"/>
          </w:tcPr>
          <w:p w:rsidR="00B35F2F" w:rsidRPr="0050725C" w:rsidRDefault="00B35F2F" w:rsidP="0050725C">
            <w:pPr>
              <w:pStyle w:val="NoSpacing"/>
              <w:rPr>
                <w:sz w:val="20"/>
                <w:szCs w:val="20"/>
              </w:rPr>
            </w:pPr>
            <w:r w:rsidRPr="0050725C">
              <w:rPr>
                <w:sz w:val="20"/>
                <w:szCs w:val="20"/>
              </w:rPr>
              <w:t>660</w:t>
            </w:r>
          </w:p>
        </w:tc>
      </w:tr>
      <w:tr w:rsidR="00B35F2F" w:rsidRPr="0050725C" w:rsidTr="00325D30">
        <w:trPr>
          <w:gridAfter w:val="1"/>
          <w:wAfter w:w="41" w:type="dxa"/>
          <w:trHeight w:val="956"/>
          <w:jc w:val="center"/>
        </w:trPr>
        <w:tc>
          <w:tcPr>
            <w:tcW w:w="10632" w:type="dxa"/>
            <w:gridSpan w:val="9"/>
            <w:tcBorders>
              <w:top w:val="single" w:sz="4" w:space="0" w:color="auto"/>
            </w:tcBorders>
          </w:tcPr>
          <w:p w:rsidR="00B35F2F" w:rsidRPr="0050725C" w:rsidRDefault="00B35F2F" w:rsidP="0050725C">
            <w:pPr>
              <w:pStyle w:val="NoSpacing"/>
              <w:rPr>
                <w:sz w:val="20"/>
                <w:szCs w:val="20"/>
              </w:rPr>
            </w:pPr>
            <w:r w:rsidRPr="0050725C">
              <w:rPr>
                <w:sz w:val="20"/>
                <w:szCs w:val="20"/>
              </w:rPr>
              <w:t>1 All Regression specifications contain additional control variables not shown in this table and include: Number of people women cook for at baseline centered and squared, Amount of money spent on Charcoal, Wood, and gas at baseline, dummy variables for women's and her husband's household income at baseline, and kilograms of both flour and rice consumed per week at baseline by household.</w:t>
            </w:r>
          </w:p>
        </w:tc>
      </w:tr>
      <w:tr w:rsidR="00B35F2F" w:rsidRPr="0050725C" w:rsidTr="00325D30">
        <w:trPr>
          <w:gridAfter w:val="1"/>
          <w:wAfter w:w="41" w:type="dxa"/>
          <w:trHeight w:val="701"/>
          <w:jc w:val="center"/>
        </w:trPr>
        <w:tc>
          <w:tcPr>
            <w:tcW w:w="10632" w:type="dxa"/>
            <w:gridSpan w:val="9"/>
          </w:tcPr>
          <w:p w:rsidR="00B35F2F" w:rsidRPr="0050725C" w:rsidRDefault="00B35F2F" w:rsidP="0050725C">
            <w:pPr>
              <w:pStyle w:val="NoSpacing"/>
              <w:rPr>
                <w:sz w:val="20"/>
                <w:szCs w:val="20"/>
              </w:rPr>
            </w:pPr>
            <w:r w:rsidRPr="0050725C">
              <w:rPr>
                <w:sz w:val="20"/>
                <w:szCs w:val="20"/>
              </w:rPr>
              <w:t>2 Additional Control Variables are the same as in footnote 1 with the addition of Total time spent by all the household collecting fuel at the baseline. Further, the y variable represents only households who women and/or other households report positive time spent collecting fuel.</w:t>
            </w:r>
          </w:p>
        </w:tc>
      </w:tr>
      <w:tr w:rsidR="00B35F2F" w:rsidRPr="0050725C" w:rsidTr="00325D30">
        <w:trPr>
          <w:gridAfter w:val="1"/>
          <w:wAfter w:w="41" w:type="dxa"/>
          <w:trHeight w:val="130"/>
          <w:jc w:val="center"/>
        </w:trPr>
        <w:tc>
          <w:tcPr>
            <w:tcW w:w="10632" w:type="dxa"/>
            <w:gridSpan w:val="9"/>
          </w:tcPr>
          <w:p w:rsidR="00B35F2F" w:rsidRPr="0050725C" w:rsidRDefault="00B35F2F" w:rsidP="0050725C">
            <w:pPr>
              <w:pStyle w:val="NoSpacing"/>
              <w:rPr>
                <w:sz w:val="20"/>
                <w:szCs w:val="20"/>
              </w:rPr>
            </w:pPr>
            <w:r w:rsidRPr="0050725C">
              <w:rPr>
                <w:sz w:val="20"/>
                <w:szCs w:val="20"/>
              </w:rPr>
              <w:t xml:space="preserve">3 This is from the CO survey </w:t>
            </w:r>
          </w:p>
        </w:tc>
      </w:tr>
      <w:tr w:rsidR="00B35F2F" w:rsidRPr="0050725C" w:rsidTr="00325D30">
        <w:trPr>
          <w:gridAfter w:val="1"/>
          <w:wAfter w:w="41" w:type="dxa"/>
          <w:trHeight w:val="1054"/>
          <w:jc w:val="center"/>
        </w:trPr>
        <w:tc>
          <w:tcPr>
            <w:tcW w:w="10632" w:type="dxa"/>
            <w:gridSpan w:val="9"/>
          </w:tcPr>
          <w:p w:rsidR="00B35F2F" w:rsidRPr="0050725C" w:rsidRDefault="00B35F2F" w:rsidP="0050725C">
            <w:pPr>
              <w:pStyle w:val="NoSpacing"/>
              <w:rPr>
                <w:sz w:val="20"/>
                <w:szCs w:val="20"/>
              </w:rPr>
            </w:pPr>
            <w:r w:rsidRPr="0050725C">
              <w:rPr>
                <w:sz w:val="20"/>
                <w:szCs w:val="20"/>
              </w:rPr>
              <w:t xml:space="preserve">4 A separate regression analysis replacing total household time (minutes/day) spent collecting fuel with only Women's time spent collecting fuel, the results (apart from Village FE's) remain insignificant. And as time spent collecting wood has a high variance due to some of our population collecting wood in stock we top and bottom code the time spent collecting fuel on the sixth month survey and rerun our regressions, but again they remain insignificant. </w:t>
            </w:r>
          </w:p>
        </w:tc>
      </w:tr>
      <w:tr w:rsidR="00B35F2F" w:rsidRPr="0050725C" w:rsidTr="00325D30">
        <w:trPr>
          <w:gridAfter w:val="1"/>
          <w:wAfter w:w="41" w:type="dxa"/>
          <w:trHeight w:val="873"/>
          <w:jc w:val="center"/>
        </w:trPr>
        <w:tc>
          <w:tcPr>
            <w:tcW w:w="10632" w:type="dxa"/>
            <w:gridSpan w:val="9"/>
            <w:vAlign w:val="bottom"/>
          </w:tcPr>
          <w:p w:rsidR="00B35F2F" w:rsidRPr="0050725C" w:rsidRDefault="00B35F2F" w:rsidP="0050725C">
            <w:pPr>
              <w:pStyle w:val="NoSpacing"/>
              <w:rPr>
                <w:sz w:val="20"/>
                <w:szCs w:val="20"/>
              </w:rPr>
            </w:pPr>
            <w:r w:rsidRPr="0050725C">
              <w:rPr>
                <w:sz w:val="20"/>
                <w:szCs w:val="20"/>
              </w:rPr>
              <w:t>5 Because surveyors did not have a list of women's children at the six month follow-up to prompt women to report for the entire household it is possible that women did not report symptoms of ARI for all children present in the household. Thus, to avoid bias, we averaged all symptoms of all children reported per household to generate an "Average Child per Household" of ARI symptoms for all children 5 and under.</w:t>
            </w:r>
          </w:p>
        </w:tc>
      </w:tr>
      <w:tr w:rsidR="00B35F2F" w:rsidRPr="0050725C" w:rsidTr="00325D30">
        <w:trPr>
          <w:gridAfter w:val="1"/>
          <w:wAfter w:w="41" w:type="dxa"/>
          <w:trHeight w:val="300"/>
          <w:jc w:val="center"/>
        </w:trPr>
        <w:tc>
          <w:tcPr>
            <w:tcW w:w="10632" w:type="dxa"/>
            <w:gridSpan w:val="9"/>
            <w:noWrap/>
            <w:vAlign w:val="bottom"/>
          </w:tcPr>
          <w:p w:rsidR="00B35F2F" w:rsidRPr="0050725C" w:rsidRDefault="00B35F2F" w:rsidP="0050725C">
            <w:pPr>
              <w:pStyle w:val="NoSpacing"/>
              <w:rPr>
                <w:sz w:val="20"/>
                <w:szCs w:val="20"/>
              </w:rPr>
            </w:pPr>
            <w:r w:rsidRPr="0050725C">
              <w:rPr>
                <w:sz w:val="20"/>
                <w:szCs w:val="20"/>
              </w:rPr>
              <w:t>a This explanatory variable comes from the baseline survey</w:t>
            </w:r>
          </w:p>
        </w:tc>
      </w:tr>
      <w:tr w:rsidR="00B35F2F" w:rsidRPr="0050725C" w:rsidTr="00325D30">
        <w:trPr>
          <w:gridAfter w:val="1"/>
          <w:wAfter w:w="41" w:type="dxa"/>
          <w:trHeight w:val="300"/>
          <w:jc w:val="center"/>
        </w:trPr>
        <w:tc>
          <w:tcPr>
            <w:tcW w:w="5836" w:type="dxa"/>
            <w:gridSpan w:val="5"/>
            <w:noWrap/>
            <w:vAlign w:val="bottom"/>
          </w:tcPr>
          <w:p w:rsidR="00B35F2F" w:rsidRPr="0050725C" w:rsidRDefault="00B35F2F" w:rsidP="0050725C">
            <w:pPr>
              <w:pStyle w:val="NoSpacing"/>
              <w:rPr>
                <w:sz w:val="20"/>
                <w:szCs w:val="20"/>
              </w:rPr>
            </w:pPr>
            <w:r w:rsidRPr="0050725C">
              <w:rPr>
                <w:sz w:val="20"/>
                <w:szCs w:val="20"/>
              </w:rPr>
              <w:t>b This explanatory variable comes from the Six Month Follow-up</w:t>
            </w:r>
          </w:p>
        </w:tc>
        <w:tc>
          <w:tcPr>
            <w:tcW w:w="685" w:type="dxa"/>
            <w:tcBorders>
              <w:right w:val="nil"/>
            </w:tcBorders>
            <w:noWrap/>
            <w:vAlign w:val="bottom"/>
          </w:tcPr>
          <w:p w:rsidR="00B35F2F" w:rsidRPr="0050725C" w:rsidRDefault="00B35F2F" w:rsidP="0050725C">
            <w:pPr>
              <w:pStyle w:val="NoSpacing"/>
              <w:rPr>
                <w:sz w:val="20"/>
                <w:szCs w:val="20"/>
              </w:rPr>
            </w:pPr>
          </w:p>
        </w:tc>
        <w:tc>
          <w:tcPr>
            <w:tcW w:w="2835" w:type="dxa"/>
            <w:gridSpan w:val="2"/>
            <w:tcBorders>
              <w:left w:val="nil"/>
              <w:right w:val="nil"/>
            </w:tcBorders>
            <w:shd w:val="clear" w:color="000000" w:fill="FFFFFF"/>
            <w:noWrap/>
            <w:vAlign w:val="bottom"/>
          </w:tcPr>
          <w:p w:rsidR="00B35F2F" w:rsidRPr="0050725C" w:rsidRDefault="00B35F2F" w:rsidP="0050725C">
            <w:pPr>
              <w:pStyle w:val="NoSpacing"/>
              <w:rPr>
                <w:sz w:val="20"/>
                <w:szCs w:val="20"/>
              </w:rPr>
            </w:pPr>
            <w:r w:rsidRPr="0050725C">
              <w:rPr>
                <w:sz w:val="20"/>
                <w:szCs w:val="20"/>
              </w:rPr>
              <w:t> </w:t>
            </w:r>
          </w:p>
        </w:tc>
        <w:tc>
          <w:tcPr>
            <w:tcW w:w="1276" w:type="dxa"/>
            <w:tcBorders>
              <w:top w:val="nil"/>
              <w:left w:val="nil"/>
              <w:bottom w:val="nil"/>
              <w:right w:val="nil"/>
            </w:tcBorders>
            <w:noWrap/>
            <w:vAlign w:val="bottom"/>
          </w:tcPr>
          <w:p w:rsidR="00B35F2F" w:rsidRPr="0050725C" w:rsidRDefault="00B35F2F" w:rsidP="0050725C">
            <w:pPr>
              <w:pStyle w:val="NoSpacing"/>
              <w:rPr>
                <w:sz w:val="20"/>
                <w:szCs w:val="20"/>
              </w:rPr>
            </w:pPr>
          </w:p>
        </w:tc>
      </w:tr>
    </w:tbl>
    <w:p w:rsidR="00B35F2F" w:rsidRDefault="00B35F2F" w:rsidP="0031212A">
      <w:pPr>
        <w:pStyle w:val="Heading1"/>
        <w:rPr>
          <w:sz w:val="20"/>
          <w:szCs w:val="20"/>
        </w:rPr>
      </w:pPr>
    </w:p>
    <w:p w:rsidR="00B35F2F" w:rsidRPr="003248D0" w:rsidRDefault="00B35F2F" w:rsidP="003248D0">
      <w:pPr>
        <w:ind w:firstLine="0"/>
        <w:rPr>
          <w:kern w:val="32"/>
        </w:rPr>
      </w:pPr>
    </w:p>
    <w:p w:rsidR="00B35F2F" w:rsidRPr="00FA1518" w:rsidRDefault="00B35F2F" w:rsidP="0031212A">
      <w:pPr>
        <w:pStyle w:val="Heading1"/>
        <w:rPr>
          <w:sz w:val="20"/>
          <w:szCs w:val="20"/>
        </w:rPr>
      </w:pPr>
    </w:p>
    <w:sectPr w:rsidR="00B35F2F" w:rsidRPr="00FA1518" w:rsidSect="00D7605E">
      <w:pgSz w:w="11906" w:h="16838"/>
      <w:pgMar w:top="1134"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A5" w:rsidRDefault="003F43A5" w:rsidP="00702666">
      <w:r>
        <w:separator/>
      </w:r>
    </w:p>
  </w:endnote>
  <w:endnote w:type="continuationSeparator" w:id="0">
    <w:p w:rsidR="003F43A5" w:rsidRDefault="003F43A5" w:rsidP="00702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PS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2F" w:rsidRDefault="00BA287D" w:rsidP="00702666">
    <w:pPr>
      <w:pStyle w:val="Footer"/>
    </w:pPr>
    <w:fldSimple w:instr=" PAGE   \* MERGEFORMAT ">
      <w:r w:rsidR="00D7605E">
        <w:rPr>
          <w:noProof/>
        </w:rPr>
        <w:t>17</w:t>
      </w:r>
    </w:fldSimple>
  </w:p>
  <w:p w:rsidR="00B35F2F" w:rsidRDefault="00B35F2F" w:rsidP="00702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A5" w:rsidRDefault="003F43A5" w:rsidP="00702666">
      <w:r>
        <w:separator/>
      </w:r>
    </w:p>
  </w:footnote>
  <w:footnote w:type="continuationSeparator" w:id="0">
    <w:p w:rsidR="003F43A5" w:rsidRDefault="003F43A5" w:rsidP="00702666">
      <w:r>
        <w:continuationSeparator/>
      </w:r>
    </w:p>
  </w:footnote>
  <w:footnote w:id="1">
    <w:p w:rsidR="00B35F2F" w:rsidRDefault="00B35F2F" w:rsidP="00C84046">
      <w:pPr>
        <w:pStyle w:val="FootnoteText"/>
        <w:ind w:firstLine="0"/>
      </w:pPr>
      <w:r>
        <w:rPr>
          <w:rStyle w:val="FootnoteReference"/>
        </w:rPr>
        <w:footnoteRef/>
      </w:r>
      <w:r>
        <w:t xml:space="preserve"> We document these claims and describe the datasets below.  Data from the next two paragraphs are from the baseline survey except data on cooking structures which is from the subsample of our six-month follow-up where we measured carbon monoxide exposure.</w:t>
      </w:r>
    </w:p>
  </w:footnote>
  <w:footnote w:id="2">
    <w:p w:rsidR="00B35F2F" w:rsidRDefault="00B35F2F" w:rsidP="00C84046">
      <w:pPr>
        <w:pStyle w:val="NoSpacing"/>
        <w:jc w:val="both"/>
      </w:pPr>
      <w:r w:rsidRPr="00BD482C">
        <w:rPr>
          <w:rStyle w:val="FootnoteReference"/>
          <w:sz w:val="20"/>
          <w:szCs w:val="20"/>
        </w:rPr>
        <w:footnoteRef/>
      </w:r>
      <w:r w:rsidRPr="00BD482C">
        <w:rPr>
          <w:sz w:val="20"/>
          <w:szCs w:val="20"/>
        </w:rPr>
        <w:t xml:space="preserve"> </w:t>
      </w:r>
      <w:r>
        <w:rPr>
          <w:sz w:val="20"/>
          <w:szCs w:val="20"/>
        </w:rPr>
        <w:t xml:space="preserve">We also fielded a one-month </w:t>
      </w:r>
      <w:r w:rsidRPr="00BD482C">
        <w:rPr>
          <w:sz w:val="20"/>
          <w:szCs w:val="20"/>
        </w:rPr>
        <w:t>follow-up</w:t>
      </w:r>
      <w:r>
        <w:rPr>
          <w:sz w:val="20"/>
          <w:szCs w:val="20"/>
        </w:rPr>
        <w:t xml:space="preserve">, but solar oven usage was so low that first month (9% on average) that </w:t>
      </w:r>
      <w:r w:rsidRPr="00BD482C">
        <w:rPr>
          <w:sz w:val="20"/>
          <w:szCs w:val="20"/>
          <w:lang w:val="en-GB"/>
        </w:rPr>
        <w:t xml:space="preserve"> we </w:t>
      </w:r>
      <w:r>
        <w:rPr>
          <w:sz w:val="20"/>
          <w:szCs w:val="20"/>
          <w:lang w:val="en-GB"/>
        </w:rPr>
        <w:t>only look for effects using the 6-month follow-up</w:t>
      </w:r>
      <w:r w:rsidRPr="00BD482C">
        <w:rPr>
          <w:sz w:val="20"/>
          <w:szCs w:val="20"/>
          <w:lang w:val="en-GB"/>
        </w:rPr>
        <w:t>.</w:t>
      </w:r>
    </w:p>
  </w:footnote>
  <w:footnote w:id="3">
    <w:p w:rsidR="00B35F2F" w:rsidRDefault="00B35F2F" w:rsidP="00C84046">
      <w:pPr>
        <w:pStyle w:val="NoSpacing"/>
        <w:jc w:val="both"/>
      </w:pPr>
      <w:r w:rsidRPr="00844356">
        <w:rPr>
          <w:rStyle w:val="FootnoteReference"/>
          <w:sz w:val="20"/>
          <w:szCs w:val="20"/>
        </w:rPr>
        <w:footnoteRef/>
      </w:r>
      <w:r w:rsidRPr="00844356">
        <w:rPr>
          <w:sz w:val="20"/>
          <w:szCs w:val="20"/>
        </w:rPr>
        <w:t xml:space="preserve"> The ibutton is sold by Maxim.  We appreciate advice from the RESPIRE team on the ibutton SUMs.  </w:t>
      </w:r>
    </w:p>
  </w:footnote>
  <w:footnote w:id="4">
    <w:p w:rsidR="00B35F2F" w:rsidRDefault="00B35F2F" w:rsidP="00C84046">
      <w:pPr>
        <w:pStyle w:val="FootnoteText"/>
        <w:ind w:firstLine="0"/>
      </w:pPr>
      <w:r>
        <w:rPr>
          <w:rStyle w:val="FootnoteReference"/>
        </w:rPr>
        <w:footnoteRef/>
      </w:r>
      <w:r>
        <w:t xml:space="preserve"> 41% (236) of treatments had one or more treatment and/or controls living in the compound and 54% (176) of control households have one or more treatments and/or controls living in the compound. </w:t>
      </w:r>
      <w:r w:rsidRPr="004E26CF">
        <w:t xml:space="preserve"> </w:t>
      </w:r>
      <w:r>
        <w:t>(see web appendix 5)</w:t>
      </w:r>
    </w:p>
  </w:footnote>
  <w:footnote w:id="5">
    <w:p w:rsidR="00B35F2F" w:rsidRDefault="00B35F2F" w:rsidP="00C84046">
      <w:pPr>
        <w:pStyle w:val="NoSpacing"/>
      </w:pPr>
      <w:r w:rsidRPr="00551923">
        <w:rPr>
          <w:rStyle w:val="FootnoteReference"/>
          <w:sz w:val="20"/>
          <w:szCs w:val="20"/>
        </w:rPr>
        <w:footnoteRef/>
      </w:r>
      <w:r>
        <w:rPr>
          <w:sz w:val="20"/>
          <w:szCs w:val="20"/>
        </w:rPr>
        <w:t xml:space="preserve"> Measured CO exposure was higher at baseline, but we believe measurement problems biased up those results</w:t>
      </w:r>
      <w:r w:rsidRPr="00551923">
        <w:rPr>
          <w:sz w:val="20"/>
          <w:szCs w:val="20"/>
        </w:rPr>
        <w:t xml:space="preserve">. </w:t>
      </w:r>
    </w:p>
  </w:footnote>
  <w:footnote w:id="6">
    <w:p w:rsidR="00B35F2F" w:rsidRDefault="00B35F2F" w:rsidP="00C84046">
      <w:pPr>
        <w:pStyle w:val="FootnoteText"/>
        <w:ind w:firstLine="0"/>
      </w:pPr>
      <w:r>
        <w:rPr>
          <w:rStyle w:val="FootnoteReference"/>
        </w:rPr>
        <w:footnoteRef/>
      </w:r>
      <w:r>
        <w:t xml:space="preserve"> </w:t>
      </w:r>
      <w:r w:rsidRPr="006D1EE5">
        <w:t xml:space="preserve">The other common complaints were that it cooked too slowly (35%) and was not durable (11%).  </w:t>
      </w:r>
    </w:p>
  </w:footnote>
  <w:footnote w:id="7">
    <w:p w:rsidR="00B35F2F" w:rsidRDefault="00B35F2F" w:rsidP="00C84046">
      <w:pPr>
        <w:pStyle w:val="FootnoteText"/>
        <w:ind w:firstLine="0"/>
      </w:pPr>
      <w:r>
        <w:rPr>
          <w:rStyle w:val="FootnoteReference"/>
        </w:rPr>
        <w:footnoteRef/>
      </w:r>
      <w:r>
        <w:t xml:space="preserve"> An additional barrier was that the solar oven required women simmer, not fry, rice for the most common lunch meal of </w:t>
      </w:r>
      <w:r w:rsidRPr="00F97440">
        <w:rPr>
          <w:i/>
        </w:rPr>
        <w:t>ceebu jën</w:t>
      </w:r>
      <w:r>
        <w:t xml:space="preserve"> (Beltramo and Levine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B32212C"/>
    <w:lvl w:ilvl="0">
      <w:start w:val="1"/>
      <w:numFmt w:val="decimal"/>
      <w:lvlText w:val="%1."/>
      <w:lvlJc w:val="left"/>
      <w:pPr>
        <w:tabs>
          <w:tab w:val="num" w:pos="360"/>
        </w:tabs>
        <w:ind w:left="360" w:hanging="360"/>
      </w:pPr>
      <w:rPr>
        <w:rFonts w:cs="Times New Roman"/>
      </w:rPr>
    </w:lvl>
  </w:abstractNum>
  <w:abstractNum w:abstractNumId="1">
    <w:nsid w:val="1AEF0851"/>
    <w:multiLevelType w:val="hybridMultilevel"/>
    <w:tmpl w:val="5B0676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D050CFB"/>
    <w:multiLevelType w:val="hybridMultilevel"/>
    <w:tmpl w:val="6BF87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F5C1C"/>
    <w:multiLevelType w:val="hybridMultilevel"/>
    <w:tmpl w:val="84CAA58E"/>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53B10A3"/>
    <w:multiLevelType w:val="multilevel"/>
    <w:tmpl w:val="78B67D0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6FD61D9"/>
    <w:multiLevelType w:val="hybridMultilevel"/>
    <w:tmpl w:val="0A7202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7D269B5"/>
    <w:multiLevelType w:val="hybridMultilevel"/>
    <w:tmpl w:val="416C1A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B092CB4"/>
    <w:multiLevelType w:val="hybridMultilevel"/>
    <w:tmpl w:val="5FC6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D990367"/>
    <w:multiLevelType w:val="hybridMultilevel"/>
    <w:tmpl w:val="8CD421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31486364"/>
    <w:multiLevelType w:val="hybridMultilevel"/>
    <w:tmpl w:val="41DCE85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1E569D7"/>
    <w:multiLevelType w:val="hybridMultilevel"/>
    <w:tmpl w:val="6B3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06049"/>
    <w:multiLevelType w:val="hybridMultilevel"/>
    <w:tmpl w:val="D2664F8C"/>
    <w:lvl w:ilvl="0" w:tplc="DE5292BC">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A07467"/>
    <w:multiLevelType w:val="hybridMultilevel"/>
    <w:tmpl w:val="F44238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1E459E6"/>
    <w:multiLevelType w:val="hybridMultilevel"/>
    <w:tmpl w:val="446C79E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56583886"/>
    <w:multiLevelType w:val="hybridMultilevel"/>
    <w:tmpl w:val="63704D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3237C2D"/>
    <w:multiLevelType w:val="hybridMultilevel"/>
    <w:tmpl w:val="3F1457BA"/>
    <w:lvl w:ilvl="0" w:tplc="040C000F">
      <w:start w:val="1"/>
      <w:numFmt w:val="lowerRoman"/>
      <w:lvlText w:val="%1."/>
      <w:lvlJc w:val="left"/>
      <w:pPr>
        <w:tabs>
          <w:tab w:val="num" w:pos="1080"/>
        </w:tabs>
        <w:ind w:left="1080" w:hanging="720"/>
      </w:pPr>
      <w:rPr>
        <w:rFonts w:cs="Times New Roman" w:hint="default"/>
      </w:rPr>
    </w:lvl>
    <w:lvl w:ilvl="1" w:tplc="7132F52E"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66D263A6"/>
    <w:multiLevelType w:val="hybridMultilevel"/>
    <w:tmpl w:val="2D3CD69C"/>
    <w:lvl w:ilvl="0" w:tplc="FFFFFFFF">
      <w:start w:val="2"/>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B9C1049"/>
    <w:multiLevelType w:val="hybridMultilevel"/>
    <w:tmpl w:val="A53A1ACA"/>
    <w:lvl w:ilvl="0" w:tplc="040C0001">
      <w:start w:val="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8B5CDC"/>
    <w:multiLevelType w:val="hybridMultilevel"/>
    <w:tmpl w:val="6256ED74"/>
    <w:lvl w:ilvl="0" w:tplc="38B4C00E">
      <w:start w:val="1"/>
      <w:numFmt w:val="bullet"/>
      <w:lvlText w:val="•"/>
      <w:lvlJc w:val="left"/>
      <w:pPr>
        <w:tabs>
          <w:tab w:val="num" w:pos="720"/>
        </w:tabs>
        <w:ind w:left="720" w:hanging="360"/>
      </w:pPr>
      <w:rPr>
        <w:rFonts w:ascii="Arial" w:hAnsi="Arial" w:hint="default"/>
      </w:rPr>
    </w:lvl>
    <w:lvl w:ilvl="1" w:tplc="86B20168" w:tentative="1">
      <w:start w:val="1"/>
      <w:numFmt w:val="bullet"/>
      <w:lvlText w:val="•"/>
      <w:lvlJc w:val="left"/>
      <w:pPr>
        <w:tabs>
          <w:tab w:val="num" w:pos="1440"/>
        </w:tabs>
        <w:ind w:left="1440" w:hanging="360"/>
      </w:pPr>
      <w:rPr>
        <w:rFonts w:ascii="Arial" w:hAnsi="Arial" w:hint="default"/>
      </w:rPr>
    </w:lvl>
    <w:lvl w:ilvl="2" w:tplc="6E3202BA" w:tentative="1">
      <w:start w:val="1"/>
      <w:numFmt w:val="bullet"/>
      <w:lvlText w:val="•"/>
      <w:lvlJc w:val="left"/>
      <w:pPr>
        <w:tabs>
          <w:tab w:val="num" w:pos="2160"/>
        </w:tabs>
        <w:ind w:left="2160" w:hanging="360"/>
      </w:pPr>
      <w:rPr>
        <w:rFonts w:ascii="Arial" w:hAnsi="Arial" w:hint="default"/>
      </w:rPr>
    </w:lvl>
    <w:lvl w:ilvl="3" w:tplc="06B6BB70" w:tentative="1">
      <w:start w:val="1"/>
      <w:numFmt w:val="bullet"/>
      <w:lvlText w:val="•"/>
      <w:lvlJc w:val="left"/>
      <w:pPr>
        <w:tabs>
          <w:tab w:val="num" w:pos="2880"/>
        </w:tabs>
        <w:ind w:left="2880" w:hanging="360"/>
      </w:pPr>
      <w:rPr>
        <w:rFonts w:ascii="Arial" w:hAnsi="Arial" w:hint="default"/>
      </w:rPr>
    </w:lvl>
    <w:lvl w:ilvl="4" w:tplc="5478E5F6" w:tentative="1">
      <w:start w:val="1"/>
      <w:numFmt w:val="bullet"/>
      <w:lvlText w:val="•"/>
      <w:lvlJc w:val="left"/>
      <w:pPr>
        <w:tabs>
          <w:tab w:val="num" w:pos="3600"/>
        </w:tabs>
        <w:ind w:left="3600" w:hanging="360"/>
      </w:pPr>
      <w:rPr>
        <w:rFonts w:ascii="Arial" w:hAnsi="Arial" w:hint="default"/>
      </w:rPr>
    </w:lvl>
    <w:lvl w:ilvl="5" w:tplc="B022A74E" w:tentative="1">
      <w:start w:val="1"/>
      <w:numFmt w:val="bullet"/>
      <w:lvlText w:val="•"/>
      <w:lvlJc w:val="left"/>
      <w:pPr>
        <w:tabs>
          <w:tab w:val="num" w:pos="4320"/>
        </w:tabs>
        <w:ind w:left="4320" w:hanging="360"/>
      </w:pPr>
      <w:rPr>
        <w:rFonts w:ascii="Arial" w:hAnsi="Arial" w:hint="default"/>
      </w:rPr>
    </w:lvl>
    <w:lvl w:ilvl="6" w:tplc="CFCC7804" w:tentative="1">
      <w:start w:val="1"/>
      <w:numFmt w:val="bullet"/>
      <w:lvlText w:val="•"/>
      <w:lvlJc w:val="left"/>
      <w:pPr>
        <w:tabs>
          <w:tab w:val="num" w:pos="5040"/>
        </w:tabs>
        <w:ind w:left="5040" w:hanging="360"/>
      </w:pPr>
      <w:rPr>
        <w:rFonts w:ascii="Arial" w:hAnsi="Arial" w:hint="default"/>
      </w:rPr>
    </w:lvl>
    <w:lvl w:ilvl="7" w:tplc="90A69948" w:tentative="1">
      <w:start w:val="1"/>
      <w:numFmt w:val="bullet"/>
      <w:lvlText w:val="•"/>
      <w:lvlJc w:val="left"/>
      <w:pPr>
        <w:tabs>
          <w:tab w:val="num" w:pos="5760"/>
        </w:tabs>
        <w:ind w:left="5760" w:hanging="360"/>
      </w:pPr>
      <w:rPr>
        <w:rFonts w:ascii="Arial" w:hAnsi="Arial" w:hint="default"/>
      </w:rPr>
    </w:lvl>
    <w:lvl w:ilvl="8" w:tplc="EA4043E8" w:tentative="1">
      <w:start w:val="1"/>
      <w:numFmt w:val="bullet"/>
      <w:lvlText w:val="•"/>
      <w:lvlJc w:val="left"/>
      <w:pPr>
        <w:tabs>
          <w:tab w:val="num" w:pos="6480"/>
        </w:tabs>
        <w:ind w:left="6480" w:hanging="360"/>
      </w:pPr>
      <w:rPr>
        <w:rFonts w:ascii="Arial" w:hAnsi="Arial" w:hint="default"/>
      </w:rPr>
    </w:lvl>
  </w:abstractNum>
  <w:abstractNum w:abstractNumId="19">
    <w:nsid w:val="745E00A6"/>
    <w:multiLevelType w:val="hybridMultilevel"/>
    <w:tmpl w:val="849CE9A6"/>
    <w:lvl w:ilvl="0" w:tplc="040C000F">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75052009"/>
    <w:multiLevelType w:val="hybridMultilevel"/>
    <w:tmpl w:val="515467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52D1C0F"/>
    <w:multiLevelType w:val="hybridMultilevel"/>
    <w:tmpl w:val="BEF8ADD2"/>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22">
    <w:nsid w:val="7C1872B3"/>
    <w:multiLevelType w:val="hybridMultilevel"/>
    <w:tmpl w:val="0FCA2B3E"/>
    <w:lvl w:ilvl="0" w:tplc="05F49D1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7DD34ACF"/>
    <w:multiLevelType w:val="hybridMultilevel"/>
    <w:tmpl w:val="5F48E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7FFB124C"/>
    <w:multiLevelType w:val="hybridMultilevel"/>
    <w:tmpl w:val="3A147C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5"/>
  </w:num>
  <w:num w:numId="14">
    <w:abstractNumId w:val="16"/>
  </w:num>
  <w:num w:numId="15">
    <w:abstractNumId w:val="9"/>
  </w:num>
  <w:num w:numId="16">
    <w:abstractNumId w:val="2"/>
  </w:num>
  <w:num w:numId="17">
    <w:abstractNumId w:val="21"/>
  </w:num>
  <w:num w:numId="18">
    <w:abstractNumId w:val="4"/>
  </w:num>
  <w:num w:numId="19">
    <w:abstractNumId w:val="19"/>
  </w:num>
  <w:num w:numId="20">
    <w:abstractNumId w:val="11"/>
  </w:num>
  <w:num w:numId="21">
    <w:abstractNumId w:val="18"/>
  </w:num>
  <w:num w:numId="22">
    <w:abstractNumId w:val="10"/>
  </w:num>
  <w:num w:numId="23">
    <w:abstractNumId w:val="8"/>
  </w:num>
  <w:num w:numId="24">
    <w:abstractNumId w:val="14"/>
  </w:num>
  <w:num w:numId="25">
    <w:abstractNumId w:val="5"/>
  </w:num>
  <w:num w:numId="26">
    <w:abstractNumId w:val="13"/>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7"/>
  </w:num>
  <w:num w:numId="36">
    <w:abstractNumId w:val="1"/>
  </w:num>
  <w:num w:numId="37">
    <w:abstractNumId w:val="12"/>
  </w:num>
  <w:num w:numId="3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9149D"/>
    <w:rsid w:val="00001241"/>
    <w:rsid w:val="000028C6"/>
    <w:rsid w:val="00003544"/>
    <w:rsid w:val="00004390"/>
    <w:rsid w:val="00007C06"/>
    <w:rsid w:val="000109AA"/>
    <w:rsid w:val="0001181C"/>
    <w:rsid w:val="00011A7A"/>
    <w:rsid w:val="000128C4"/>
    <w:rsid w:val="0001474C"/>
    <w:rsid w:val="00015B0E"/>
    <w:rsid w:val="00020EF9"/>
    <w:rsid w:val="000213F4"/>
    <w:rsid w:val="00021792"/>
    <w:rsid w:val="000224E6"/>
    <w:rsid w:val="0002330D"/>
    <w:rsid w:val="00024AA4"/>
    <w:rsid w:val="00030CCE"/>
    <w:rsid w:val="00031560"/>
    <w:rsid w:val="00031AD5"/>
    <w:rsid w:val="000324FC"/>
    <w:rsid w:val="00032D12"/>
    <w:rsid w:val="000331CA"/>
    <w:rsid w:val="0003565B"/>
    <w:rsid w:val="000365FE"/>
    <w:rsid w:val="000417F8"/>
    <w:rsid w:val="0004215D"/>
    <w:rsid w:val="0004382F"/>
    <w:rsid w:val="00044A1B"/>
    <w:rsid w:val="000461C0"/>
    <w:rsid w:val="00052EC9"/>
    <w:rsid w:val="00054DC1"/>
    <w:rsid w:val="0005519C"/>
    <w:rsid w:val="00055BC4"/>
    <w:rsid w:val="0005791F"/>
    <w:rsid w:val="000606A6"/>
    <w:rsid w:val="00060F6F"/>
    <w:rsid w:val="00061A94"/>
    <w:rsid w:val="00061BE7"/>
    <w:rsid w:val="00061BFA"/>
    <w:rsid w:val="00064112"/>
    <w:rsid w:val="00064B88"/>
    <w:rsid w:val="00066866"/>
    <w:rsid w:val="00067861"/>
    <w:rsid w:val="00067C35"/>
    <w:rsid w:val="00067D4A"/>
    <w:rsid w:val="000719BB"/>
    <w:rsid w:val="00074330"/>
    <w:rsid w:val="000754AC"/>
    <w:rsid w:val="00076B23"/>
    <w:rsid w:val="00082715"/>
    <w:rsid w:val="00084C65"/>
    <w:rsid w:val="000856CF"/>
    <w:rsid w:val="00086E72"/>
    <w:rsid w:val="000876E5"/>
    <w:rsid w:val="00092EBA"/>
    <w:rsid w:val="0009359F"/>
    <w:rsid w:val="00094025"/>
    <w:rsid w:val="000940AF"/>
    <w:rsid w:val="00094637"/>
    <w:rsid w:val="00095D71"/>
    <w:rsid w:val="000A0B05"/>
    <w:rsid w:val="000A17EB"/>
    <w:rsid w:val="000A27C0"/>
    <w:rsid w:val="000A450A"/>
    <w:rsid w:val="000A45C3"/>
    <w:rsid w:val="000A58EC"/>
    <w:rsid w:val="000B1737"/>
    <w:rsid w:val="000B1D99"/>
    <w:rsid w:val="000B1EB5"/>
    <w:rsid w:val="000B279A"/>
    <w:rsid w:val="000B29BB"/>
    <w:rsid w:val="000B6B8F"/>
    <w:rsid w:val="000C1F3D"/>
    <w:rsid w:val="000C25BA"/>
    <w:rsid w:val="000C54E0"/>
    <w:rsid w:val="000C55BD"/>
    <w:rsid w:val="000C6E20"/>
    <w:rsid w:val="000D0020"/>
    <w:rsid w:val="000D147B"/>
    <w:rsid w:val="000D38C1"/>
    <w:rsid w:val="000D6E63"/>
    <w:rsid w:val="000D793E"/>
    <w:rsid w:val="000D7F34"/>
    <w:rsid w:val="000E05BA"/>
    <w:rsid w:val="000E06BE"/>
    <w:rsid w:val="000E0A69"/>
    <w:rsid w:val="000E13A7"/>
    <w:rsid w:val="000E3551"/>
    <w:rsid w:val="000E4E9A"/>
    <w:rsid w:val="000E7771"/>
    <w:rsid w:val="000F108F"/>
    <w:rsid w:val="000F13DD"/>
    <w:rsid w:val="000F183F"/>
    <w:rsid w:val="000F2952"/>
    <w:rsid w:val="000F42EA"/>
    <w:rsid w:val="000F4E85"/>
    <w:rsid w:val="000F5259"/>
    <w:rsid w:val="000F5B0C"/>
    <w:rsid w:val="000F5BB8"/>
    <w:rsid w:val="000F79E3"/>
    <w:rsid w:val="00102896"/>
    <w:rsid w:val="001048BF"/>
    <w:rsid w:val="00104FB8"/>
    <w:rsid w:val="001074F6"/>
    <w:rsid w:val="00107F6D"/>
    <w:rsid w:val="00110208"/>
    <w:rsid w:val="0011036C"/>
    <w:rsid w:val="0011109A"/>
    <w:rsid w:val="0011467D"/>
    <w:rsid w:val="00115295"/>
    <w:rsid w:val="00115CA2"/>
    <w:rsid w:val="001161CA"/>
    <w:rsid w:val="00120E35"/>
    <w:rsid w:val="001213BA"/>
    <w:rsid w:val="00121CDA"/>
    <w:rsid w:val="001228FB"/>
    <w:rsid w:val="001239C6"/>
    <w:rsid w:val="00124024"/>
    <w:rsid w:val="00125213"/>
    <w:rsid w:val="00126B34"/>
    <w:rsid w:val="00132A3B"/>
    <w:rsid w:val="00132F81"/>
    <w:rsid w:val="001331E4"/>
    <w:rsid w:val="001353FF"/>
    <w:rsid w:val="00140900"/>
    <w:rsid w:val="001421F2"/>
    <w:rsid w:val="001428A5"/>
    <w:rsid w:val="00144F30"/>
    <w:rsid w:val="00146050"/>
    <w:rsid w:val="00150019"/>
    <w:rsid w:val="00150360"/>
    <w:rsid w:val="00151111"/>
    <w:rsid w:val="001512A2"/>
    <w:rsid w:val="001521A5"/>
    <w:rsid w:val="0015367C"/>
    <w:rsid w:val="001536F6"/>
    <w:rsid w:val="001559D3"/>
    <w:rsid w:val="00157F66"/>
    <w:rsid w:val="0016052E"/>
    <w:rsid w:val="00160847"/>
    <w:rsid w:val="00160EBE"/>
    <w:rsid w:val="00161A91"/>
    <w:rsid w:val="001628D8"/>
    <w:rsid w:val="0016367C"/>
    <w:rsid w:val="00163A1C"/>
    <w:rsid w:val="00164500"/>
    <w:rsid w:val="00164BB7"/>
    <w:rsid w:val="0016528B"/>
    <w:rsid w:val="00166BEC"/>
    <w:rsid w:val="00166DD1"/>
    <w:rsid w:val="00171A1C"/>
    <w:rsid w:val="001734EC"/>
    <w:rsid w:val="00174529"/>
    <w:rsid w:val="001769F1"/>
    <w:rsid w:val="001775A4"/>
    <w:rsid w:val="00177AE9"/>
    <w:rsid w:val="001815BA"/>
    <w:rsid w:val="00181F6F"/>
    <w:rsid w:val="00181FA8"/>
    <w:rsid w:val="00182F2A"/>
    <w:rsid w:val="001835FF"/>
    <w:rsid w:val="0018425A"/>
    <w:rsid w:val="00184309"/>
    <w:rsid w:val="00184B0C"/>
    <w:rsid w:val="00187555"/>
    <w:rsid w:val="00190C43"/>
    <w:rsid w:val="00192CDE"/>
    <w:rsid w:val="0019380C"/>
    <w:rsid w:val="0019444B"/>
    <w:rsid w:val="001959EE"/>
    <w:rsid w:val="00195C84"/>
    <w:rsid w:val="001A6FDA"/>
    <w:rsid w:val="001B1A87"/>
    <w:rsid w:val="001B2BC2"/>
    <w:rsid w:val="001B4379"/>
    <w:rsid w:val="001B4B66"/>
    <w:rsid w:val="001B4D91"/>
    <w:rsid w:val="001B4F24"/>
    <w:rsid w:val="001C09A8"/>
    <w:rsid w:val="001C11D5"/>
    <w:rsid w:val="001C1EB1"/>
    <w:rsid w:val="001C50C0"/>
    <w:rsid w:val="001C7DB3"/>
    <w:rsid w:val="001D089E"/>
    <w:rsid w:val="001D174B"/>
    <w:rsid w:val="001D3C60"/>
    <w:rsid w:val="001D6CC0"/>
    <w:rsid w:val="001E360A"/>
    <w:rsid w:val="001E5556"/>
    <w:rsid w:val="001E648D"/>
    <w:rsid w:val="001E6B8A"/>
    <w:rsid w:val="001E7961"/>
    <w:rsid w:val="001F12BB"/>
    <w:rsid w:val="001F2918"/>
    <w:rsid w:val="001F2984"/>
    <w:rsid w:val="002027A0"/>
    <w:rsid w:val="0020382E"/>
    <w:rsid w:val="002130EE"/>
    <w:rsid w:val="00217A44"/>
    <w:rsid w:val="00221291"/>
    <w:rsid w:val="0022166A"/>
    <w:rsid w:val="00224E86"/>
    <w:rsid w:val="00224EC5"/>
    <w:rsid w:val="00225EE1"/>
    <w:rsid w:val="00226B3B"/>
    <w:rsid w:val="00227DFB"/>
    <w:rsid w:val="002314FD"/>
    <w:rsid w:val="0023209F"/>
    <w:rsid w:val="00233B98"/>
    <w:rsid w:val="00234FB4"/>
    <w:rsid w:val="00235EDA"/>
    <w:rsid w:val="002421EB"/>
    <w:rsid w:val="002435F8"/>
    <w:rsid w:val="00246AF2"/>
    <w:rsid w:val="00246CB5"/>
    <w:rsid w:val="0024793B"/>
    <w:rsid w:val="00251269"/>
    <w:rsid w:val="0025714E"/>
    <w:rsid w:val="0025740E"/>
    <w:rsid w:val="00260151"/>
    <w:rsid w:val="0026142C"/>
    <w:rsid w:val="002615F5"/>
    <w:rsid w:val="00262059"/>
    <w:rsid w:val="00264057"/>
    <w:rsid w:val="00264330"/>
    <w:rsid w:val="00264870"/>
    <w:rsid w:val="0026495F"/>
    <w:rsid w:val="00265CE8"/>
    <w:rsid w:val="00270F92"/>
    <w:rsid w:val="00270FD6"/>
    <w:rsid w:val="00272F63"/>
    <w:rsid w:val="002747C2"/>
    <w:rsid w:val="00275E79"/>
    <w:rsid w:val="002761DD"/>
    <w:rsid w:val="00276DB2"/>
    <w:rsid w:val="00280AC2"/>
    <w:rsid w:val="00282FAE"/>
    <w:rsid w:val="00284452"/>
    <w:rsid w:val="00284F8A"/>
    <w:rsid w:val="00286CF0"/>
    <w:rsid w:val="00290701"/>
    <w:rsid w:val="00290ADD"/>
    <w:rsid w:val="0029311D"/>
    <w:rsid w:val="00293BFE"/>
    <w:rsid w:val="00297C39"/>
    <w:rsid w:val="002A096F"/>
    <w:rsid w:val="002A13EF"/>
    <w:rsid w:val="002A2218"/>
    <w:rsid w:val="002A4262"/>
    <w:rsid w:val="002A4FAB"/>
    <w:rsid w:val="002B1718"/>
    <w:rsid w:val="002B3806"/>
    <w:rsid w:val="002B4C90"/>
    <w:rsid w:val="002B5666"/>
    <w:rsid w:val="002B5AA4"/>
    <w:rsid w:val="002B7673"/>
    <w:rsid w:val="002E096E"/>
    <w:rsid w:val="002E2CFF"/>
    <w:rsid w:val="002E3F8F"/>
    <w:rsid w:val="002E52E5"/>
    <w:rsid w:val="002E5B0F"/>
    <w:rsid w:val="002E602D"/>
    <w:rsid w:val="002E6BAC"/>
    <w:rsid w:val="002F221E"/>
    <w:rsid w:val="002F2C28"/>
    <w:rsid w:val="002F2E99"/>
    <w:rsid w:val="002F3261"/>
    <w:rsid w:val="002F54B5"/>
    <w:rsid w:val="002F67CE"/>
    <w:rsid w:val="002F70BA"/>
    <w:rsid w:val="00301834"/>
    <w:rsid w:val="0030259F"/>
    <w:rsid w:val="00304347"/>
    <w:rsid w:val="003049F2"/>
    <w:rsid w:val="00306EC5"/>
    <w:rsid w:val="00310D7C"/>
    <w:rsid w:val="0031123D"/>
    <w:rsid w:val="00311A1C"/>
    <w:rsid w:val="0031212A"/>
    <w:rsid w:val="003127D9"/>
    <w:rsid w:val="00312928"/>
    <w:rsid w:val="0031523D"/>
    <w:rsid w:val="00315E4B"/>
    <w:rsid w:val="00316227"/>
    <w:rsid w:val="00321651"/>
    <w:rsid w:val="00321E96"/>
    <w:rsid w:val="003248D0"/>
    <w:rsid w:val="003257F2"/>
    <w:rsid w:val="00325D30"/>
    <w:rsid w:val="0032614D"/>
    <w:rsid w:val="00326EEB"/>
    <w:rsid w:val="00327A42"/>
    <w:rsid w:val="00327CB8"/>
    <w:rsid w:val="00330FB3"/>
    <w:rsid w:val="003319CC"/>
    <w:rsid w:val="003346D0"/>
    <w:rsid w:val="00334E07"/>
    <w:rsid w:val="003350A3"/>
    <w:rsid w:val="003372EB"/>
    <w:rsid w:val="003374E8"/>
    <w:rsid w:val="00340A7C"/>
    <w:rsid w:val="00343641"/>
    <w:rsid w:val="0034499C"/>
    <w:rsid w:val="00345633"/>
    <w:rsid w:val="00346BF8"/>
    <w:rsid w:val="00347512"/>
    <w:rsid w:val="0035132D"/>
    <w:rsid w:val="003538CA"/>
    <w:rsid w:val="00361A6C"/>
    <w:rsid w:val="00361E1C"/>
    <w:rsid w:val="00362B4F"/>
    <w:rsid w:val="0036323E"/>
    <w:rsid w:val="00366441"/>
    <w:rsid w:val="0037062F"/>
    <w:rsid w:val="0037278F"/>
    <w:rsid w:val="00375DFF"/>
    <w:rsid w:val="0037793F"/>
    <w:rsid w:val="00380344"/>
    <w:rsid w:val="00382B9A"/>
    <w:rsid w:val="003860AA"/>
    <w:rsid w:val="00387E96"/>
    <w:rsid w:val="00391B3C"/>
    <w:rsid w:val="003930E2"/>
    <w:rsid w:val="003936D2"/>
    <w:rsid w:val="00393AC1"/>
    <w:rsid w:val="00393E1C"/>
    <w:rsid w:val="0039453D"/>
    <w:rsid w:val="00394B21"/>
    <w:rsid w:val="00394E15"/>
    <w:rsid w:val="00394EF5"/>
    <w:rsid w:val="0039504E"/>
    <w:rsid w:val="00396207"/>
    <w:rsid w:val="003A0DA6"/>
    <w:rsid w:val="003A198C"/>
    <w:rsid w:val="003A1B1A"/>
    <w:rsid w:val="003A4A60"/>
    <w:rsid w:val="003A7132"/>
    <w:rsid w:val="003B0C98"/>
    <w:rsid w:val="003B365A"/>
    <w:rsid w:val="003B3BA0"/>
    <w:rsid w:val="003B6651"/>
    <w:rsid w:val="003C03D2"/>
    <w:rsid w:val="003C078D"/>
    <w:rsid w:val="003C0EC3"/>
    <w:rsid w:val="003C288E"/>
    <w:rsid w:val="003C4448"/>
    <w:rsid w:val="003D083E"/>
    <w:rsid w:val="003D10E1"/>
    <w:rsid w:val="003D6095"/>
    <w:rsid w:val="003E0C06"/>
    <w:rsid w:val="003E28BF"/>
    <w:rsid w:val="003E2D3B"/>
    <w:rsid w:val="003E3F54"/>
    <w:rsid w:val="003E3FF9"/>
    <w:rsid w:val="003E4000"/>
    <w:rsid w:val="003E461B"/>
    <w:rsid w:val="003E4FB0"/>
    <w:rsid w:val="003E6BFF"/>
    <w:rsid w:val="003E780B"/>
    <w:rsid w:val="003F0AE1"/>
    <w:rsid w:val="003F18A4"/>
    <w:rsid w:val="003F3127"/>
    <w:rsid w:val="003F3ED1"/>
    <w:rsid w:val="003F3EF5"/>
    <w:rsid w:val="003F40BD"/>
    <w:rsid w:val="003F436E"/>
    <w:rsid w:val="003F43A5"/>
    <w:rsid w:val="003F59E7"/>
    <w:rsid w:val="003F6CFD"/>
    <w:rsid w:val="003F7048"/>
    <w:rsid w:val="003F704A"/>
    <w:rsid w:val="00400ABE"/>
    <w:rsid w:val="0040232E"/>
    <w:rsid w:val="00402B9C"/>
    <w:rsid w:val="00403A04"/>
    <w:rsid w:val="00403FE9"/>
    <w:rsid w:val="004049AD"/>
    <w:rsid w:val="00404D77"/>
    <w:rsid w:val="00406A59"/>
    <w:rsid w:val="00411087"/>
    <w:rsid w:val="0041298D"/>
    <w:rsid w:val="00412E20"/>
    <w:rsid w:val="0041366F"/>
    <w:rsid w:val="00414EDA"/>
    <w:rsid w:val="00417090"/>
    <w:rsid w:val="0041738F"/>
    <w:rsid w:val="00417BBE"/>
    <w:rsid w:val="00421F26"/>
    <w:rsid w:val="004227B5"/>
    <w:rsid w:val="00423293"/>
    <w:rsid w:val="00423768"/>
    <w:rsid w:val="00426322"/>
    <w:rsid w:val="00426D1D"/>
    <w:rsid w:val="004301A9"/>
    <w:rsid w:val="0043168C"/>
    <w:rsid w:val="00432B0B"/>
    <w:rsid w:val="0043303B"/>
    <w:rsid w:val="004356A2"/>
    <w:rsid w:val="00435B27"/>
    <w:rsid w:val="00435C79"/>
    <w:rsid w:val="00437349"/>
    <w:rsid w:val="00437DE0"/>
    <w:rsid w:val="00440C3C"/>
    <w:rsid w:val="004411D1"/>
    <w:rsid w:val="00443D40"/>
    <w:rsid w:val="004462E3"/>
    <w:rsid w:val="00446459"/>
    <w:rsid w:val="00446820"/>
    <w:rsid w:val="00447C4A"/>
    <w:rsid w:val="00453F07"/>
    <w:rsid w:val="00454219"/>
    <w:rsid w:val="00454773"/>
    <w:rsid w:val="00454D3A"/>
    <w:rsid w:val="00456557"/>
    <w:rsid w:val="00457CA1"/>
    <w:rsid w:val="00462514"/>
    <w:rsid w:val="004637E9"/>
    <w:rsid w:val="00464D84"/>
    <w:rsid w:val="00465B79"/>
    <w:rsid w:val="00465CCC"/>
    <w:rsid w:val="00466031"/>
    <w:rsid w:val="00466DC4"/>
    <w:rsid w:val="00467BF9"/>
    <w:rsid w:val="00467FFB"/>
    <w:rsid w:val="0047024E"/>
    <w:rsid w:val="00470809"/>
    <w:rsid w:val="00470963"/>
    <w:rsid w:val="00470A5F"/>
    <w:rsid w:val="00474B97"/>
    <w:rsid w:val="00474CA1"/>
    <w:rsid w:val="00476865"/>
    <w:rsid w:val="004775CA"/>
    <w:rsid w:val="00477615"/>
    <w:rsid w:val="004805CF"/>
    <w:rsid w:val="00480F96"/>
    <w:rsid w:val="00480FC6"/>
    <w:rsid w:val="0048201D"/>
    <w:rsid w:val="00483271"/>
    <w:rsid w:val="004834F0"/>
    <w:rsid w:val="00484262"/>
    <w:rsid w:val="004850CA"/>
    <w:rsid w:val="00485E48"/>
    <w:rsid w:val="004863A6"/>
    <w:rsid w:val="00487CD6"/>
    <w:rsid w:val="004910E8"/>
    <w:rsid w:val="0049162A"/>
    <w:rsid w:val="004934EF"/>
    <w:rsid w:val="004963A4"/>
    <w:rsid w:val="00497160"/>
    <w:rsid w:val="004A38F5"/>
    <w:rsid w:val="004A3D98"/>
    <w:rsid w:val="004A4DA2"/>
    <w:rsid w:val="004A5C5E"/>
    <w:rsid w:val="004A6E61"/>
    <w:rsid w:val="004B03A2"/>
    <w:rsid w:val="004B2763"/>
    <w:rsid w:val="004B2C62"/>
    <w:rsid w:val="004C0542"/>
    <w:rsid w:val="004C0F1C"/>
    <w:rsid w:val="004C46C5"/>
    <w:rsid w:val="004C57AD"/>
    <w:rsid w:val="004C61E7"/>
    <w:rsid w:val="004D08B3"/>
    <w:rsid w:val="004D1BEE"/>
    <w:rsid w:val="004D5874"/>
    <w:rsid w:val="004D626F"/>
    <w:rsid w:val="004D686B"/>
    <w:rsid w:val="004D6C41"/>
    <w:rsid w:val="004E1715"/>
    <w:rsid w:val="004E2357"/>
    <w:rsid w:val="004E26CF"/>
    <w:rsid w:val="004E64DB"/>
    <w:rsid w:val="004F6311"/>
    <w:rsid w:val="004F6411"/>
    <w:rsid w:val="004F6EEA"/>
    <w:rsid w:val="00500B7F"/>
    <w:rsid w:val="00500F79"/>
    <w:rsid w:val="00501E85"/>
    <w:rsid w:val="00502734"/>
    <w:rsid w:val="0050326F"/>
    <w:rsid w:val="005052E8"/>
    <w:rsid w:val="0050565B"/>
    <w:rsid w:val="0050725C"/>
    <w:rsid w:val="0051033D"/>
    <w:rsid w:val="005112D2"/>
    <w:rsid w:val="0051197A"/>
    <w:rsid w:val="00511D76"/>
    <w:rsid w:val="0051335C"/>
    <w:rsid w:val="00513FF9"/>
    <w:rsid w:val="005146E6"/>
    <w:rsid w:val="00514DCF"/>
    <w:rsid w:val="005160D8"/>
    <w:rsid w:val="005204A0"/>
    <w:rsid w:val="00520749"/>
    <w:rsid w:val="00521253"/>
    <w:rsid w:val="00521A61"/>
    <w:rsid w:val="005226C4"/>
    <w:rsid w:val="005229F3"/>
    <w:rsid w:val="0052423B"/>
    <w:rsid w:val="00525F38"/>
    <w:rsid w:val="0052633E"/>
    <w:rsid w:val="005267F0"/>
    <w:rsid w:val="00530D92"/>
    <w:rsid w:val="005310C4"/>
    <w:rsid w:val="00533A7D"/>
    <w:rsid w:val="005354EE"/>
    <w:rsid w:val="00535A81"/>
    <w:rsid w:val="00536D0F"/>
    <w:rsid w:val="00537048"/>
    <w:rsid w:val="00540894"/>
    <w:rsid w:val="00543DBF"/>
    <w:rsid w:val="005446AB"/>
    <w:rsid w:val="005458FA"/>
    <w:rsid w:val="0054590D"/>
    <w:rsid w:val="00545FF7"/>
    <w:rsid w:val="00547D2B"/>
    <w:rsid w:val="00547F0E"/>
    <w:rsid w:val="0055091C"/>
    <w:rsid w:val="00551923"/>
    <w:rsid w:val="005563D7"/>
    <w:rsid w:val="00556C66"/>
    <w:rsid w:val="0056144F"/>
    <w:rsid w:val="00562332"/>
    <w:rsid w:val="005627BF"/>
    <w:rsid w:val="00562F2A"/>
    <w:rsid w:val="005641B5"/>
    <w:rsid w:val="00564310"/>
    <w:rsid w:val="0056536D"/>
    <w:rsid w:val="005654F0"/>
    <w:rsid w:val="005670B4"/>
    <w:rsid w:val="00567E11"/>
    <w:rsid w:val="0057098C"/>
    <w:rsid w:val="005714DA"/>
    <w:rsid w:val="005725E2"/>
    <w:rsid w:val="005728E1"/>
    <w:rsid w:val="00572DA1"/>
    <w:rsid w:val="00573966"/>
    <w:rsid w:val="00573EEC"/>
    <w:rsid w:val="00575B17"/>
    <w:rsid w:val="00575CC7"/>
    <w:rsid w:val="0057719C"/>
    <w:rsid w:val="00581661"/>
    <w:rsid w:val="00583566"/>
    <w:rsid w:val="00585C94"/>
    <w:rsid w:val="005860E0"/>
    <w:rsid w:val="0059481A"/>
    <w:rsid w:val="005A0417"/>
    <w:rsid w:val="005A1D7A"/>
    <w:rsid w:val="005A2218"/>
    <w:rsid w:val="005A235A"/>
    <w:rsid w:val="005A255D"/>
    <w:rsid w:val="005A2871"/>
    <w:rsid w:val="005A2E91"/>
    <w:rsid w:val="005A41F3"/>
    <w:rsid w:val="005A6E1C"/>
    <w:rsid w:val="005B44B7"/>
    <w:rsid w:val="005B4BE3"/>
    <w:rsid w:val="005B7063"/>
    <w:rsid w:val="005C1634"/>
    <w:rsid w:val="005C2842"/>
    <w:rsid w:val="005D005D"/>
    <w:rsid w:val="005D05C3"/>
    <w:rsid w:val="005D0C75"/>
    <w:rsid w:val="005D1280"/>
    <w:rsid w:val="005D1956"/>
    <w:rsid w:val="005D1B5E"/>
    <w:rsid w:val="005D1B9E"/>
    <w:rsid w:val="005D1C07"/>
    <w:rsid w:val="005D29BF"/>
    <w:rsid w:val="005D41D0"/>
    <w:rsid w:val="005D474C"/>
    <w:rsid w:val="005D534C"/>
    <w:rsid w:val="005D712F"/>
    <w:rsid w:val="005D7E0E"/>
    <w:rsid w:val="005D7E4F"/>
    <w:rsid w:val="005E1AA3"/>
    <w:rsid w:val="005E48E2"/>
    <w:rsid w:val="005E4BA1"/>
    <w:rsid w:val="005E4BB6"/>
    <w:rsid w:val="005F0A50"/>
    <w:rsid w:val="005F18B2"/>
    <w:rsid w:val="005F1FE8"/>
    <w:rsid w:val="005F37B3"/>
    <w:rsid w:val="005F4523"/>
    <w:rsid w:val="005F4574"/>
    <w:rsid w:val="005F4B66"/>
    <w:rsid w:val="006002D6"/>
    <w:rsid w:val="0060043B"/>
    <w:rsid w:val="00601CC4"/>
    <w:rsid w:val="00601D3F"/>
    <w:rsid w:val="00601FD4"/>
    <w:rsid w:val="00604773"/>
    <w:rsid w:val="006061E1"/>
    <w:rsid w:val="00606924"/>
    <w:rsid w:val="00607BB1"/>
    <w:rsid w:val="006111E6"/>
    <w:rsid w:val="0061220C"/>
    <w:rsid w:val="00612CA2"/>
    <w:rsid w:val="006154D8"/>
    <w:rsid w:val="00621548"/>
    <w:rsid w:val="00622F52"/>
    <w:rsid w:val="00627952"/>
    <w:rsid w:val="006328AD"/>
    <w:rsid w:val="006331BD"/>
    <w:rsid w:val="0063795D"/>
    <w:rsid w:val="006404A3"/>
    <w:rsid w:val="006413FF"/>
    <w:rsid w:val="006415E0"/>
    <w:rsid w:val="006431BB"/>
    <w:rsid w:val="00644437"/>
    <w:rsid w:val="00645749"/>
    <w:rsid w:val="00645FFF"/>
    <w:rsid w:val="00646C02"/>
    <w:rsid w:val="00650A11"/>
    <w:rsid w:val="0065123D"/>
    <w:rsid w:val="006516E9"/>
    <w:rsid w:val="00651C2F"/>
    <w:rsid w:val="00652768"/>
    <w:rsid w:val="00653292"/>
    <w:rsid w:val="00653A33"/>
    <w:rsid w:val="00654754"/>
    <w:rsid w:val="006557A5"/>
    <w:rsid w:val="006566DC"/>
    <w:rsid w:val="00662177"/>
    <w:rsid w:val="00664754"/>
    <w:rsid w:val="006655E6"/>
    <w:rsid w:val="00665FF9"/>
    <w:rsid w:val="00666085"/>
    <w:rsid w:val="0066608C"/>
    <w:rsid w:val="00666C7C"/>
    <w:rsid w:val="00666DD2"/>
    <w:rsid w:val="0066734A"/>
    <w:rsid w:val="006717E4"/>
    <w:rsid w:val="00671ADF"/>
    <w:rsid w:val="00674274"/>
    <w:rsid w:val="006749C6"/>
    <w:rsid w:val="0067507B"/>
    <w:rsid w:val="00675C56"/>
    <w:rsid w:val="00675FFB"/>
    <w:rsid w:val="00676D4F"/>
    <w:rsid w:val="00676D75"/>
    <w:rsid w:val="00677F5C"/>
    <w:rsid w:val="00683416"/>
    <w:rsid w:val="006836A9"/>
    <w:rsid w:val="00692899"/>
    <w:rsid w:val="00692ABC"/>
    <w:rsid w:val="006930FB"/>
    <w:rsid w:val="006934A3"/>
    <w:rsid w:val="00693D88"/>
    <w:rsid w:val="00694896"/>
    <w:rsid w:val="006957D1"/>
    <w:rsid w:val="00695908"/>
    <w:rsid w:val="00696A09"/>
    <w:rsid w:val="006974D9"/>
    <w:rsid w:val="006979E1"/>
    <w:rsid w:val="006A027E"/>
    <w:rsid w:val="006A0311"/>
    <w:rsid w:val="006A41D9"/>
    <w:rsid w:val="006A42D5"/>
    <w:rsid w:val="006B0251"/>
    <w:rsid w:val="006B06F4"/>
    <w:rsid w:val="006B0757"/>
    <w:rsid w:val="006B08BF"/>
    <w:rsid w:val="006B24AB"/>
    <w:rsid w:val="006B257D"/>
    <w:rsid w:val="006C5979"/>
    <w:rsid w:val="006C6505"/>
    <w:rsid w:val="006D0419"/>
    <w:rsid w:val="006D16BE"/>
    <w:rsid w:val="006D1EE5"/>
    <w:rsid w:val="006D30F5"/>
    <w:rsid w:val="006D5A2F"/>
    <w:rsid w:val="006D717B"/>
    <w:rsid w:val="006E1BA5"/>
    <w:rsid w:val="006E3E3A"/>
    <w:rsid w:val="006E5698"/>
    <w:rsid w:val="006E616B"/>
    <w:rsid w:val="006E75A3"/>
    <w:rsid w:val="006E7D93"/>
    <w:rsid w:val="006E7EDE"/>
    <w:rsid w:val="006F02D4"/>
    <w:rsid w:val="006F0C86"/>
    <w:rsid w:val="006F17A5"/>
    <w:rsid w:val="006F2A21"/>
    <w:rsid w:val="006F3EF6"/>
    <w:rsid w:val="006F535E"/>
    <w:rsid w:val="006F5477"/>
    <w:rsid w:val="006F6B84"/>
    <w:rsid w:val="006F6C85"/>
    <w:rsid w:val="007011E0"/>
    <w:rsid w:val="007017F3"/>
    <w:rsid w:val="0070251A"/>
    <w:rsid w:val="00702666"/>
    <w:rsid w:val="007034B8"/>
    <w:rsid w:val="0070383C"/>
    <w:rsid w:val="00703A7F"/>
    <w:rsid w:val="00704089"/>
    <w:rsid w:val="0070431E"/>
    <w:rsid w:val="007053C5"/>
    <w:rsid w:val="00710366"/>
    <w:rsid w:val="00712C54"/>
    <w:rsid w:val="007147C0"/>
    <w:rsid w:val="00714AE7"/>
    <w:rsid w:val="007150AE"/>
    <w:rsid w:val="0071569A"/>
    <w:rsid w:val="007164F1"/>
    <w:rsid w:val="00720685"/>
    <w:rsid w:val="00721A4D"/>
    <w:rsid w:val="00723978"/>
    <w:rsid w:val="00723E46"/>
    <w:rsid w:val="007245C7"/>
    <w:rsid w:val="00725035"/>
    <w:rsid w:val="007251F9"/>
    <w:rsid w:val="007270F9"/>
    <w:rsid w:val="00727252"/>
    <w:rsid w:val="00727C10"/>
    <w:rsid w:val="00730DCF"/>
    <w:rsid w:val="0073131A"/>
    <w:rsid w:val="007325A1"/>
    <w:rsid w:val="00733F9A"/>
    <w:rsid w:val="00735351"/>
    <w:rsid w:val="00737051"/>
    <w:rsid w:val="00740EAE"/>
    <w:rsid w:val="007413B8"/>
    <w:rsid w:val="007423FD"/>
    <w:rsid w:val="00743F65"/>
    <w:rsid w:val="007454A9"/>
    <w:rsid w:val="007460D0"/>
    <w:rsid w:val="00746D7A"/>
    <w:rsid w:val="00750274"/>
    <w:rsid w:val="00750A16"/>
    <w:rsid w:val="00751833"/>
    <w:rsid w:val="00751D32"/>
    <w:rsid w:val="00753030"/>
    <w:rsid w:val="0075355E"/>
    <w:rsid w:val="007535E2"/>
    <w:rsid w:val="00753F1B"/>
    <w:rsid w:val="00754B79"/>
    <w:rsid w:val="00755AF4"/>
    <w:rsid w:val="00761EC1"/>
    <w:rsid w:val="00762319"/>
    <w:rsid w:val="00762B16"/>
    <w:rsid w:val="00763723"/>
    <w:rsid w:val="00763B97"/>
    <w:rsid w:val="0076459F"/>
    <w:rsid w:val="007651DA"/>
    <w:rsid w:val="00765B21"/>
    <w:rsid w:val="00765DBC"/>
    <w:rsid w:val="00766595"/>
    <w:rsid w:val="00767A65"/>
    <w:rsid w:val="00770942"/>
    <w:rsid w:val="007723CB"/>
    <w:rsid w:val="00774719"/>
    <w:rsid w:val="007775B9"/>
    <w:rsid w:val="007777F0"/>
    <w:rsid w:val="007778E7"/>
    <w:rsid w:val="00777D47"/>
    <w:rsid w:val="007800A7"/>
    <w:rsid w:val="0078248C"/>
    <w:rsid w:val="00782C87"/>
    <w:rsid w:val="0078478D"/>
    <w:rsid w:val="0078641C"/>
    <w:rsid w:val="0078698F"/>
    <w:rsid w:val="0078706E"/>
    <w:rsid w:val="00787600"/>
    <w:rsid w:val="007904AD"/>
    <w:rsid w:val="007922F5"/>
    <w:rsid w:val="00792EAF"/>
    <w:rsid w:val="00793789"/>
    <w:rsid w:val="007954A3"/>
    <w:rsid w:val="007975FB"/>
    <w:rsid w:val="007A0199"/>
    <w:rsid w:val="007A07BA"/>
    <w:rsid w:val="007A1142"/>
    <w:rsid w:val="007A16FD"/>
    <w:rsid w:val="007A33FA"/>
    <w:rsid w:val="007A47E1"/>
    <w:rsid w:val="007A4C6C"/>
    <w:rsid w:val="007A5544"/>
    <w:rsid w:val="007A6D5E"/>
    <w:rsid w:val="007B06A9"/>
    <w:rsid w:val="007B2179"/>
    <w:rsid w:val="007B26D8"/>
    <w:rsid w:val="007B30F8"/>
    <w:rsid w:val="007B646A"/>
    <w:rsid w:val="007B64CA"/>
    <w:rsid w:val="007B7827"/>
    <w:rsid w:val="007C06E9"/>
    <w:rsid w:val="007C671D"/>
    <w:rsid w:val="007C7FB6"/>
    <w:rsid w:val="007D4E62"/>
    <w:rsid w:val="007D5D4F"/>
    <w:rsid w:val="007D656E"/>
    <w:rsid w:val="007D789D"/>
    <w:rsid w:val="007E3D51"/>
    <w:rsid w:val="007E46F8"/>
    <w:rsid w:val="007E4F5D"/>
    <w:rsid w:val="007E4F8A"/>
    <w:rsid w:val="007E5FEC"/>
    <w:rsid w:val="007E7135"/>
    <w:rsid w:val="007E7562"/>
    <w:rsid w:val="007F3ECC"/>
    <w:rsid w:val="007F710A"/>
    <w:rsid w:val="007F79AB"/>
    <w:rsid w:val="00801D34"/>
    <w:rsid w:val="0080337C"/>
    <w:rsid w:val="0080340B"/>
    <w:rsid w:val="008047C5"/>
    <w:rsid w:val="0080781A"/>
    <w:rsid w:val="008103BF"/>
    <w:rsid w:val="008127E5"/>
    <w:rsid w:val="00813315"/>
    <w:rsid w:val="00813685"/>
    <w:rsid w:val="00815083"/>
    <w:rsid w:val="008154D8"/>
    <w:rsid w:val="00817A1D"/>
    <w:rsid w:val="00821601"/>
    <w:rsid w:val="008237BB"/>
    <w:rsid w:val="008254FB"/>
    <w:rsid w:val="00826A33"/>
    <w:rsid w:val="00830BE5"/>
    <w:rsid w:val="00833FBF"/>
    <w:rsid w:val="008348CB"/>
    <w:rsid w:val="00834EB1"/>
    <w:rsid w:val="008362EC"/>
    <w:rsid w:val="00840AC4"/>
    <w:rsid w:val="00841956"/>
    <w:rsid w:val="00843242"/>
    <w:rsid w:val="00843979"/>
    <w:rsid w:val="0084409B"/>
    <w:rsid w:val="00844356"/>
    <w:rsid w:val="0084621C"/>
    <w:rsid w:val="00853E93"/>
    <w:rsid w:val="008547FE"/>
    <w:rsid w:val="00857768"/>
    <w:rsid w:val="00857C1D"/>
    <w:rsid w:val="0086017F"/>
    <w:rsid w:val="00861DBE"/>
    <w:rsid w:val="008625CD"/>
    <w:rsid w:val="00862891"/>
    <w:rsid w:val="0086347E"/>
    <w:rsid w:val="00863502"/>
    <w:rsid w:val="00863BCF"/>
    <w:rsid w:val="00863CC3"/>
    <w:rsid w:val="008641E5"/>
    <w:rsid w:val="008648E6"/>
    <w:rsid w:val="00864B76"/>
    <w:rsid w:val="00865032"/>
    <w:rsid w:val="00867A4C"/>
    <w:rsid w:val="0087443F"/>
    <w:rsid w:val="008747F3"/>
    <w:rsid w:val="008753FC"/>
    <w:rsid w:val="00875576"/>
    <w:rsid w:val="00875BB1"/>
    <w:rsid w:val="008805D4"/>
    <w:rsid w:val="0088099F"/>
    <w:rsid w:val="008811ED"/>
    <w:rsid w:val="0088225A"/>
    <w:rsid w:val="0088243D"/>
    <w:rsid w:val="008835CA"/>
    <w:rsid w:val="00883FE1"/>
    <w:rsid w:val="00885778"/>
    <w:rsid w:val="008862AA"/>
    <w:rsid w:val="00886682"/>
    <w:rsid w:val="008877AE"/>
    <w:rsid w:val="008879CF"/>
    <w:rsid w:val="008907C5"/>
    <w:rsid w:val="00890A48"/>
    <w:rsid w:val="00893704"/>
    <w:rsid w:val="0089485C"/>
    <w:rsid w:val="00894C0F"/>
    <w:rsid w:val="008954AC"/>
    <w:rsid w:val="008961E8"/>
    <w:rsid w:val="0089663E"/>
    <w:rsid w:val="00896BFA"/>
    <w:rsid w:val="00896C52"/>
    <w:rsid w:val="008A0518"/>
    <w:rsid w:val="008A5E62"/>
    <w:rsid w:val="008A7ACE"/>
    <w:rsid w:val="008B060C"/>
    <w:rsid w:val="008B1887"/>
    <w:rsid w:val="008B1F00"/>
    <w:rsid w:val="008B3313"/>
    <w:rsid w:val="008B36F5"/>
    <w:rsid w:val="008B531A"/>
    <w:rsid w:val="008B6181"/>
    <w:rsid w:val="008B7158"/>
    <w:rsid w:val="008C1A17"/>
    <w:rsid w:val="008C224F"/>
    <w:rsid w:val="008C2822"/>
    <w:rsid w:val="008C4713"/>
    <w:rsid w:val="008C69EE"/>
    <w:rsid w:val="008D1D71"/>
    <w:rsid w:val="008D2635"/>
    <w:rsid w:val="008D559F"/>
    <w:rsid w:val="008D6259"/>
    <w:rsid w:val="008E0AD9"/>
    <w:rsid w:val="008E1233"/>
    <w:rsid w:val="008E1671"/>
    <w:rsid w:val="008E2DE2"/>
    <w:rsid w:val="008E2E13"/>
    <w:rsid w:val="008E2E92"/>
    <w:rsid w:val="008E41F0"/>
    <w:rsid w:val="008E5166"/>
    <w:rsid w:val="008E63B1"/>
    <w:rsid w:val="008E66D7"/>
    <w:rsid w:val="008E6A5A"/>
    <w:rsid w:val="008E6B80"/>
    <w:rsid w:val="008E7304"/>
    <w:rsid w:val="008F04EA"/>
    <w:rsid w:val="008F170F"/>
    <w:rsid w:val="008F197A"/>
    <w:rsid w:val="008F3D2E"/>
    <w:rsid w:val="008F3D4B"/>
    <w:rsid w:val="008F5EBE"/>
    <w:rsid w:val="008F67BB"/>
    <w:rsid w:val="008F73C5"/>
    <w:rsid w:val="00900570"/>
    <w:rsid w:val="00901247"/>
    <w:rsid w:val="00902C76"/>
    <w:rsid w:val="00906B2A"/>
    <w:rsid w:val="009107BB"/>
    <w:rsid w:val="00910870"/>
    <w:rsid w:val="00913C71"/>
    <w:rsid w:val="009146B1"/>
    <w:rsid w:val="00920E8B"/>
    <w:rsid w:val="009235A5"/>
    <w:rsid w:val="00924149"/>
    <w:rsid w:val="00927E81"/>
    <w:rsid w:val="00930E5A"/>
    <w:rsid w:val="00934F16"/>
    <w:rsid w:val="0093525A"/>
    <w:rsid w:val="0093575C"/>
    <w:rsid w:val="0093787D"/>
    <w:rsid w:val="0094074D"/>
    <w:rsid w:val="00941AEB"/>
    <w:rsid w:val="0094305A"/>
    <w:rsid w:val="0094398E"/>
    <w:rsid w:val="009449C5"/>
    <w:rsid w:val="009472EC"/>
    <w:rsid w:val="00947F39"/>
    <w:rsid w:val="00951099"/>
    <w:rsid w:val="009538D8"/>
    <w:rsid w:val="00953FFB"/>
    <w:rsid w:val="00954A08"/>
    <w:rsid w:val="00956896"/>
    <w:rsid w:val="00956942"/>
    <w:rsid w:val="00956B4F"/>
    <w:rsid w:val="009579EC"/>
    <w:rsid w:val="00961094"/>
    <w:rsid w:val="00961940"/>
    <w:rsid w:val="00962AD4"/>
    <w:rsid w:val="00962DB8"/>
    <w:rsid w:val="00962FA3"/>
    <w:rsid w:val="0096451C"/>
    <w:rsid w:val="00964BF8"/>
    <w:rsid w:val="009674DF"/>
    <w:rsid w:val="00971AB2"/>
    <w:rsid w:val="00973566"/>
    <w:rsid w:val="00973667"/>
    <w:rsid w:val="00973D3F"/>
    <w:rsid w:val="00975792"/>
    <w:rsid w:val="00977E05"/>
    <w:rsid w:val="00981768"/>
    <w:rsid w:val="00981982"/>
    <w:rsid w:val="009819DB"/>
    <w:rsid w:val="0098301F"/>
    <w:rsid w:val="0098322F"/>
    <w:rsid w:val="00985F51"/>
    <w:rsid w:val="0098687D"/>
    <w:rsid w:val="00987299"/>
    <w:rsid w:val="00990BE4"/>
    <w:rsid w:val="00990DA7"/>
    <w:rsid w:val="0099166F"/>
    <w:rsid w:val="00997414"/>
    <w:rsid w:val="009A044D"/>
    <w:rsid w:val="009A1AB0"/>
    <w:rsid w:val="009A3E80"/>
    <w:rsid w:val="009A4884"/>
    <w:rsid w:val="009A65D5"/>
    <w:rsid w:val="009B120B"/>
    <w:rsid w:val="009B1A32"/>
    <w:rsid w:val="009B2022"/>
    <w:rsid w:val="009B2219"/>
    <w:rsid w:val="009B6AB4"/>
    <w:rsid w:val="009B75B0"/>
    <w:rsid w:val="009C0821"/>
    <w:rsid w:val="009C2D6D"/>
    <w:rsid w:val="009C2DC9"/>
    <w:rsid w:val="009C34DD"/>
    <w:rsid w:val="009C4DB7"/>
    <w:rsid w:val="009C532F"/>
    <w:rsid w:val="009C6974"/>
    <w:rsid w:val="009D37A1"/>
    <w:rsid w:val="009D4D05"/>
    <w:rsid w:val="009D5C81"/>
    <w:rsid w:val="009D610E"/>
    <w:rsid w:val="009D6F1F"/>
    <w:rsid w:val="009D7144"/>
    <w:rsid w:val="009D762A"/>
    <w:rsid w:val="009E1658"/>
    <w:rsid w:val="009E1A85"/>
    <w:rsid w:val="009E3E61"/>
    <w:rsid w:val="009E44E7"/>
    <w:rsid w:val="009E475A"/>
    <w:rsid w:val="009F1274"/>
    <w:rsid w:val="009F20A6"/>
    <w:rsid w:val="009F27C9"/>
    <w:rsid w:val="009F3082"/>
    <w:rsid w:val="009F6E28"/>
    <w:rsid w:val="009F7659"/>
    <w:rsid w:val="009F7E70"/>
    <w:rsid w:val="00A01847"/>
    <w:rsid w:val="00A036EC"/>
    <w:rsid w:val="00A04412"/>
    <w:rsid w:val="00A04B5E"/>
    <w:rsid w:val="00A05BC5"/>
    <w:rsid w:val="00A06F1D"/>
    <w:rsid w:val="00A076BF"/>
    <w:rsid w:val="00A10018"/>
    <w:rsid w:val="00A10D52"/>
    <w:rsid w:val="00A11A60"/>
    <w:rsid w:val="00A11BAA"/>
    <w:rsid w:val="00A12F76"/>
    <w:rsid w:val="00A15545"/>
    <w:rsid w:val="00A15A59"/>
    <w:rsid w:val="00A16E8E"/>
    <w:rsid w:val="00A17C25"/>
    <w:rsid w:val="00A17CAC"/>
    <w:rsid w:val="00A20061"/>
    <w:rsid w:val="00A207EA"/>
    <w:rsid w:val="00A20C4D"/>
    <w:rsid w:val="00A2123B"/>
    <w:rsid w:val="00A217B7"/>
    <w:rsid w:val="00A22E8C"/>
    <w:rsid w:val="00A25EDF"/>
    <w:rsid w:val="00A26A61"/>
    <w:rsid w:val="00A27E8D"/>
    <w:rsid w:val="00A3053F"/>
    <w:rsid w:val="00A30EAD"/>
    <w:rsid w:val="00A31641"/>
    <w:rsid w:val="00A31AA5"/>
    <w:rsid w:val="00A31D54"/>
    <w:rsid w:val="00A37512"/>
    <w:rsid w:val="00A40E67"/>
    <w:rsid w:val="00A41496"/>
    <w:rsid w:val="00A4264B"/>
    <w:rsid w:val="00A44C83"/>
    <w:rsid w:val="00A4593E"/>
    <w:rsid w:val="00A4629A"/>
    <w:rsid w:val="00A464D7"/>
    <w:rsid w:val="00A46FC4"/>
    <w:rsid w:val="00A506BD"/>
    <w:rsid w:val="00A50E92"/>
    <w:rsid w:val="00A52C60"/>
    <w:rsid w:val="00A53BD2"/>
    <w:rsid w:val="00A54D67"/>
    <w:rsid w:val="00A5531E"/>
    <w:rsid w:val="00A55482"/>
    <w:rsid w:val="00A56119"/>
    <w:rsid w:val="00A5644B"/>
    <w:rsid w:val="00A6109B"/>
    <w:rsid w:val="00A61D40"/>
    <w:rsid w:val="00A63EA2"/>
    <w:rsid w:val="00A65158"/>
    <w:rsid w:val="00A655ED"/>
    <w:rsid w:val="00A65BEF"/>
    <w:rsid w:val="00A660F7"/>
    <w:rsid w:val="00A7046B"/>
    <w:rsid w:val="00A74526"/>
    <w:rsid w:val="00A74BFC"/>
    <w:rsid w:val="00A778E6"/>
    <w:rsid w:val="00A81325"/>
    <w:rsid w:val="00A8174A"/>
    <w:rsid w:val="00A842E6"/>
    <w:rsid w:val="00A85760"/>
    <w:rsid w:val="00A85E94"/>
    <w:rsid w:val="00A860E5"/>
    <w:rsid w:val="00A861B5"/>
    <w:rsid w:val="00A9012F"/>
    <w:rsid w:val="00A9014D"/>
    <w:rsid w:val="00A93FEE"/>
    <w:rsid w:val="00A94F46"/>
    <w:rsid w:val="00A95170"/>
    <w:rsid w:val="00A97424"/>
    <w:rsid w:val="00A97BF6"/>
    <w:rsid w:val="00AA00FC"/>
    <w:rsid w:val="00AA11C4"/>
    <w:rsid w:val="00AA1DD5"/>
    <w:rsid w:val="00AA2FE7"/>
    <w:rsid w:val="00AA3E96"/>
    <w:rsid w:val="00AA4DF2"/>
    <w:rsid w:val="00AA4E76"/>
    <w:rsid w:val="00AA7412"/>
    <w:rsid w:val="00AA7905"/>
    <w:rsid w:val="00AB17C6"/>
    <w:rsid w:val="00AB28D1"/>
    <w:rsid w:val="00AB376E"/>
    <w:rsid w:val="00AB4939"/>
    <w:rsid w:val="00AB5359"/>
    <w:rsid w:val="00AB565A"/>
    <w:rsid w:val="00AB5F1A"/>
    <w:rsid w:val="00AC17C1"/>
    <w:rsid w:val="00AC2130"/>
    <w:rsid w:val="00AC315A"/>
    <w:rsid w:val="00AC4207"/>
    <w:rsid w:val="00AC5F46"/>
    <w:rsid w:val="00AC6508"/>
    <w:rsid w:val="00AC6885"/>
    <w:rsid w:val="00AD06FA"/>
    <w:rsid w:val="00AD0A52"/>
    <w:rsid w:val="00AD187F"/>
    <w:rsid w:val="00AD366D"/>
    <w:rsid w:val="00AD37BC"/>
    <w:rsid w:val="00AD4B95"/>
    <w:rsid w:val="00AD5383"/>
    <w:rsid w:val="00AD6F10"/>
    <w:rsid w:val="00AE0FB0"/>
    <w:rsid w:val="00AE3898"/>
    <w:rsid w:val="00AE49D7"/>
    <w:rsid w:val="00AE5CEA"/>
    <w:rsid w:val="00AE5FCF"/>
    <w:rsid w:val="00AE6727"/>
    <w:rsid w:val="00AE7118"/>
    <w:rsid w:val="00AF0F27"/>
    <w:rsid w:val="00AF111B"/>
    <w:rsid w:val="00AF4CE0"/>
    <w:rsid w:val="00AF5E5C"/>
    <w:rsid w:val="00B004B6"/>
    <w:rsid w:val="00B0139C"/>
    <w:rsid w:val="00B02872"/>
    <w:rsid w:val="00B04A8A"/>
    <w:rsid w:val="00B05BB7"/>
    <w:rsid w:val="00B05BDE"/>
    <w:rsid w:val="00B06AB8"/>
    <w:rsid w:val="00B07083"/>
    <w:rsid w:val="00B10977"/>
    <w:rsid w:val="00B119D0"/>
    <w:rsid w:val="00B12A01"/>
    <w:rsid w:val="00B135ED"/>
    <w:rsid w:val="00B13A01"/>
    <w:rsid w:val="00B17015"/>
    <w:rsid w:val="00B2327C"/>
    <w:rsid w:val="00B235A7"/>
    <w:rsid w:val="00B249FB"/>
    <w:rsid w:val="00B24C24"/>
    <w:rsid w:val="00B27CB2"/>
    <w:rsid w:val="00B30158"/>
    <w:rsid w:val="00B3144C"/>
    <w:rsid w:val="00B31737"/>
    <w:rsid w:val="00B330B5"/>
    <w:rsid w:val="00B3382D"/>
    <w:rsid w:val="00B35F2F"/>
    <w:rsid w:val="00B36CE3"/>
    <w:rsid w:val="00B37A4C"/>
    <w:rsid w:val="00B4040A"/>
    <w:rsid w:val="00B419F7"/>
    <w:rsid w:val="00B4235F"/>
    <w:rsid w:val="00B42861"/>
    <w:rsid w:val="00B4659A"/>
    <w:rsid w:val="00B47037"/>
    <w:rsid w:val="00B47612"/>
    <w:rsid w:val="00B47EA3"/>
    <w:rsid w:val="00B50228"/>
    <w:rsid w:val="00B51AB4"/>
    <w:rsid w:val="00B52269"/>
    <w:rsid w:val="00B534DA"/>
    <w:rsid w:val="00B545C7"/>
    <w:rsid w:val="00B54CB9"/>
    <w:rsid w:val="00B5565B"/>
    <w:rsid w:val="00B57CB5"/>
    <w:rsid w:val="00B612D2"/>
    <w:rsid w:val="00B61908"/>
    <w:rsid w:val="00B62414"/>
    <w:rsid w:val="00B644B0"/>
    <w:rsid w:val="00B66070"/>
    <w:rsid w:val="00B6647D"/>
    <w:rsid w:val="00B67478"/>
    <w:rsid w:val="00B678C7"/>
    <w:rsid w:val="00B7512B"/>
    <w:rsid w:val="00B75373"/>
    <w:rsid w:val="00B75403"/>
    <w:rsid w:val="00B7674D"/>
    <w:rsid w:val="00B768BC"/>
    <w:rsid w:val="00B76D13"/>
    <w:rsid w:val="00B77A96"/>
    <w:rsid w:val="00B807D9"/>
    <w:rsid w:val="00B819B2"/>
    <w:rsid w:val="00B82D2C"/>
    <w:rsid w:val="00B83562"/>
    <w:rsid w:val="00B837DC"/>
    <w:rsid w:val="00B84A6F"/>
    <w:rsid w:val="00B85CB0"/>
    <w:rsid w:val="00B912FE"/>
    <w:rsid w:val="00B920D5"/>
    <w:rsid w:val="00B92BC6"/>
    <w:rsid w:val="00B93BE8"/>
    <w:rsid w:val="00B93EEB"/>
    <w:rsid w:val="00B95802"/>
    <w:rsid w:val="00B96F3D"/>
    <w:rsid w:val="00BA0796"/>
    <w:rsid w:val="00BA12F5"/>
    <w:rsid w:val="00BA183F"/>
    <w:rsid w:val="00BA287D"/>
    <w:rsid w:val="00BA3C5D"/>
    <w:rsid w:val="00BA4B52"/>
    <w:rsid w:val="00BA61C2"/>
    <w:rsid w:val="00BB0247"/>
    <w:rsid w:val="00BB2646"/>
    <w:rsid w:val="00BB32B3"/>
    <w:rsid w:val="00BB33B8"/>
    <w:rsid w:val="00BB3B86"/>
    <w:rsid w:val="00BB5375"/>
    <w:rsid w:val="00BB7B47"/>
    <w:rsid w:val="00BC1001"/>
    <w:rsid w:val="00BC283B"/>
    <w:rsid w:val="00BC510C"/>
    <w:rsid w:val="00BC6879"/>
    <w:rsid w:val="00BC6920"/>
    <w:rsid w:val="00BC6D6D"/>
    <w:rsid w:val="00BD1717"/>
    <w:rsid w:val="00BD19E6"/>
    <w:rsid w:val="00BD482C"/>
    <w:rsid w:val="00BD7BD0"/>
    <w:rsid w:val="00BE12AD"/>
    <w:rsid w:val="00BE3470"/>
    <w:rsid w:val="00BE5407"/>
    <w:rsid w:val="00BE7E0D"/>
    <w:rsid w:val="00BF2155"/>
    <w:rsid w:val="00BF2BBF"/>
    <w:rsid w:val="00C00A9F"/>
    <w:rsid w:val="00C015E3"/>
    <w:rsid w:val="00C01876"/>
    <w:rsid w:val="00C034D9"/>
    <w:rsid w:val="00C045EC"/>
    <w:rsid w:val="00C046C4"/>
    <w:rsid w:val="00C07F1D"/>
    <w:rsid w:val="00C1032B"/>
    <w:rsid w:val="00C104FF"/>
    <w:rsid w:val="00C107CB"/>
    <w:rsid w:val="00C112AC"/>
    <w:rsid w:val="00C11AF4"/>
    <w:rsid w:val="00C11EDF"/>
    <w:rsid w:val="00C13DED"/>
    <w:rsid w:val="00C13F74"/>
    <w:rsid w:val="00C158E8"/>
    <w:rsid w:val="00C16B84"/>
    <w:rsid w:val="00C20202"/>
    <w:rsid w:val="00C2296F"/>
    <w:rsid w:val="00C22ED8"/>
    <w:rsid w:val="00C244EF"/>
    <w:rsid w:val="00C25253"/>
    <w:rsid w:val="00C25A5A"/>
    <w:rsid w:val="00C271B3"/>
    <w:rsid w:val="00C27756"/>
    <w:rsid w:val="00C3216D"/>
    <w:rsid w:val="00C33303"/>
    <w:rsid w:val="00C34638"/>
    <w:rsid w:val="00C34EBA"/>
    <w:rsid w:val="00C35EB7"/>
    <w:rsid w:val="00C361D3"/>
    <w:rsid w:val="00C36345"/>
    <w:rsid w:val="00C41580"/>
    <w:rsid w:val="00C419C8"/>
    <w:rsid w:val="00C4291C"/>
    <w:rsid w:val="00C42D01"/>
    <w:rsid w:val="00C50E9E"/>
    <w:rsid w:val="00C60BE8"/>
    <w:rsid w:val="00C61935"/>
    <w:rsid w:val="00C61ABE"/>
    <w:rsid w:val="00C66534"/>
    <w:rsid w:val="00C67340"/>
    <w:rsid w:val="00C708FE"/>
    <w:rsid w:val="00C71565"/>
    <w:rsid w:val="00C71779"/>
    <w:rsid w:val="00C740F5"/>
    <w:rsid w:val="00C744D8"/>
    <w:rsid w:val="00C75A6B"/>
    <w:rsid w:val="00C800FC"/>
    <w:rsid w:val="00C8097D"/>
    <w:rsid w:val="00C817D3"/>
    <w:rsid w:val="00C84046"/>
    <w:rsid w:val="00C85628"/>
    <w:rsid w:val="00C86B86"/>
    <w:rsid w:val="00C87307"/>
    <w:rsid w:val="00C9066A"/>
    <w:rsid w:val="00C9166D"/>
    <w:rsid w:val="00C94480"/>
    <w:rsid w:val="00C94629"/>
    <w:rsid w:val="00C97D0D"/>
    <w:rsid w:val="00CA077B"/>
    <w:rsid w:val="00CA08F6"/>
    <w:rsid w:val="00CA0D41"/>
    <w:rsid w:val="00CA1D11"/>
    <w:rsid w:val="00CA7380"/>
    <w:rsid w:val="00CB0B64"/>
    <w:rsid w:val="00CB0C5D"/>
    <w:rsid w:val="00CB19E2"/>
    <w:rsid w:val="00CB30C0"/>
    <w:rsid w:val="00CB3D4D"/>
    <w:rsid w:val="00CB4D4E"/>
    <w:rsid w:val="00CB5434"/>
    <w:rsid w:val="00CB5FD3"/>
    <w:rsid w:val="00CB6222"/>
    <w:rsid w:val="00CB624B"/>
    <w:rsid w:val="00CB7486"/>
    <w:rsid w:val="00CB76EB"/>
    <w:rsid w:val="00CC00CF"/>
    <w:rsid w:val="00CC00D7"/>
    <w:rsid w:val="00CC01C0"/>
    <w:rsid w:val="00CC177A"/>
    <w:rsid w:val="00CC1B9E"/>
    <w:rsid w:val="00CC3D96"/>
    <w:rsid w:val="00CC3E2C"/>
    <w:rsid w:val="00CE045A"/>
    <w:rsid w:val="00CE45BC"/>
    <w:rsid w:val="00CE6D65"/>
    <w:rsid w:val="00CE7E83"/>
    <w:rsid w:val="00CF040D"/>
    <w:rsid w:val="00CF0825"/>
    <w:rsid w:val="00CF1A8C"/>
    <w:rsid w:val="00CF248A"/>
    <w:rsid w:val="00CF3511"/>
    <w:rsid w:val="00CF3A2A"/>
    <w:rsid w:val="00CF513A"/>
    <w:rsid w:val="00CF7188"/>
    <w:rsid w:val="00D00C18"/>
    <w:rsid w:val="00D0148B"/>
    <w:rsid w:val="00D02E65"/>
    <w:rsid w:val="00D03EDC"/>
    <w:rsid w:val="00D06097"/>
    <w:rsid w:val="00D0617E"/>
    <w:rsid w:val="00D07212"/>
    <w:rsid w:val="00D077CC"/>
    <w:rsid w:val="00D129B2"/>
    <w:rsid w:val="00D1353B"/>
    <w:rsid w:val="00D20E37"/>
    <w:rsid w:val="00D2445E"/>
    <w:rsid w:val="00D2546F"/>
    <w:rsid w:val="00D269D9"/>
    <w:rsid w:val="00D274D0"/>
    <w:rsid w:val="00D27D81"/>
    <w:rsid w:val="00D30D2B"/>
    <w:rsid w:val="00D31AE2"/>
    <w:rsid w:val="00D36807"/>
    <w:rsid w:val="00D3689E"/>
    <w:rsid w:val="00D3702A"/>
    <w:rsid w:val="00D37423"/>
    <w:rsid w:val="00D37978"/>
    <w:rsid w:val="00D42869"/>
    <w:rsid w:val="00D4403B"/>
    <w:rsid w:val="00D45228"/>
    <w:rsid w:val="00D459C3"/>
    <w:rsid w:val="00D46429"/>
    <w:rsid w:val="00D47E6E"/>
    <w:rsid w:val="00D51C28"/>
    <w:rsid w:val="00D524D2"/>
    <w:rsid w:val="00D52F6E"/>
    <w:rsid w:val="00D542E6"/>
    <w:rsid w:val="00D54F2E"/>
    <w:rsid w:val="00D61231"/>
    <w:rsid w:val="00D6391A"/>
    <w:rsid w:val="00D70349"/>
    <w:rsid w:val="00D70616"/>
    <w:rsid w:val="00D71584"/>
    <w:rsid w:val="00D7465F"/>
    <w:rsid w:val="00D7605E"/>
    <w:rsid w:val="00D7700E"/>
    <w:rsid w:val="00D779F1"/>
    <w:rsid w:val="00D82FDD"/>
    <w:rsid w:val="00D84104"/>
    <w:rsid w:val="00D84182"/>
    <w:rsid w:val="00D84BED"/>
    <w:rsid w:val="00D9098F"/>
    <w:rsid w:val="00D90C94"/>
    <w:rsid w:val="00D9149D"/>
    <w:rsid w:val="00D92C0E"/>
    <w:rsid w:val="00D96725"/>
    <w:rsid w:val="00DA00CF"/>
    <w:rsid w:val="00DA0F4F"/>
    <w:rsid w:val="00DA1BF1"/>
    <w:rsid w:val="00DA2153"/>
    <w:rsid w:val="00DA39A8"/>
    <w:rsid w:val="00DA4C32"/>
    <w:rsid w:val="00DA4EB8"/>
    <w:rsid w:val="00DA565A"/>
    <w:rsid w:val="00DA66D8"/>
    <w:rsid w:val="00DA6B53"/>
    <w:rsid w:val="00DA6EEA"/>
    <w:rsid w:val="00DA715E"/>
    <w:rsid w:val="00DB0058"/>
    <w:rsid w:val="00DB0C8A"/>
    <w:rsid w:val="00DB2DFA"/>
    <w:rsid w:val="00DB3183"/>
    <w:rsid w:val="00DB62C6"/>
    <w:rsid w:val="00DB66CD"/>
    <w:rsid w:val="00DC1DB3"/>
    <w:rsid w:val="00DC43F0"/>
    <w:rsid w:val="00DC460E"/>
    <w:rsid w:val="00DC63DD"/>
    <w:rsid w:val="00DC6617"/>
    <w:rsid w:val="00DC7230"/>
    <w:rsid w:val="00DD0994"/>
    <w:rsid w:val="00DD3987"/>
    <w:rsid w:val="00DD3DD3"/>
    <w:rsid w:val="00DD482D"/>
    <w:rsid w:val="00DD4D8C"/>
    <w:rsid w:val="00DD7712"/>
    <w:rsid w:val="00DE0289"/>
    <w:rsid w:val="00DE193A"/>
    <w:rsid w:val="00DE1970"/>
    <w:rsid w:val="00DE26A2"/>
    <w:rsid w:val="00DE273A"/>
    <w:rsid w:val="00DF191E"/>
    <w:rsid w:val="00DF1B5B"/>
    <w:rsid w:val="00DF1BE6"/>
    <w:rsid w:val="00DF2D41"/>
    <w:rsid w:val="00DF41D7"/>
    <w:rsid w:val="00E006BF"/>
    <w:rsid w:val="00E01885"/>
    <w:rsid w:val="00E01DF0"/>
    <w:rsid w:val="00E025ED"/>
    <w:rsid w:val="00E04AF0"/>
    <w:rsid w:val="00E05A59"/>
    <w:rsid w:val="00E05F27"/>
    <w:rsid w:val="00E072B7"/>
    <w:rsid w:val="00E07872"/>
    <w:rsid w:val="00E0788C"/>
    <w:rsid w:val="00E12A6B"/>
    <w:rsid w:val="00E143A6"/>
    <w:rsid w:val="00E14613"/>
    <w:rsid w:val="00E15BAF"/>
    <w:rsid w:val="00E161AC"/>
    <w:rsid w:val="00E172EB"/>
    <w:rsid w:val="00E17974"/>
    <w:rsid w:val="00E20FAA"/>
    <w:rsid w:val="00E21A62"/>
    <w:rsid w:val="00E24F5A"/>
    <w:rsid w:val="00E254AA"/>
    <w:rsid w:val="00E2654E"/>
    <w:rsid w:val="00E305EF"/>
    <w:rsid w:val="00E330D7"/>
    <w:rsid w:val="00E33BC6"/>
    <w:rsid w:val="00E34139"/>
    <w:rsid w:val="00E34420"/>
    <w:rsid w:val="00E347DE"/>
    <w:rsid w:val="00E34930"/>
    <w:rsid w:val="00E34D5B"/>
    <w:rsid w:val="00E34F18"/>
    <w:rsid w:val="00E35375"/>
    <w:rsid w:val="00E36376"/>
    <w:rsid w:val="00E41BC4"/>
    <w:rsid w:val="00E42491"/>
    <w:rsid w:val="00E4294E"/>
    <w:rsid w:val="00E4307E"/>
    <w:rsid w:val="00E468D5"/>
    <w:rsid w:val="00E4723A"/>
    <w:rsid w:val="00E52A90"/>
    <w:rsid w:val="00E53E89"/>
    <w:rsid w:val="00E54F9D"/>
    <w:rsid w:val="00E553C9"/>
    <w:rsid w:val="00E55569"/>
    <w:rsid w:val="00E56AAC"/>
    <w:rsid w:val="00E57744"/>
    <w:rsid w:val="00E57975"/>
    <w:rsid w:val="00E613B5"/>
    <w:rsid w:val="00E61813"/>
    <w:rsid w:val="00E6451D"/>
    <w:rsid w:val="00E64754"/>
    <w:rsid w:val="00E65558"/>
    <w:rsid w:val="00E655F9"/>
    <w:rsid w:val="00E67291"/>
    <w:rsid w:val="00E675B0"/>
    <w:rsid w:val="00E7191E"/>
    <w:rsid w:val="00E77200"/>
    <w:rsid w:val="00E8005D"/>
    <w:rsid w:val="00E8024B"/>
    <w:rsid w:val="00E8268B"/>
    <w:rsid w:val="00E83F3B"/>
    <w:rsid w:val="00E85374"/>
    <w:rsid w:val="00E86CF5"/>
    <w:rsid w:val="00E87C71"/>
    <w:rsid w:val="00E92195"/>
    <w:rsid w:val="00E94379"/>
    <w:rsid w:val="00E96A4A"/>
    <w:rsid w:val="00E96DF0"/>
    <w:rsid w:val="00EA2F24"/>
    <w:rsid w:val="00EA30DA"/>
    <w:rsid w:val="00EA3DBA"/>
    <w:rsid w:val="00EA4981"/>
    <w:rsid w:val="00EA4BB9"/>
    <w:rsid w:val="00EA6405"/>
    <w:rsid w:val="00EA67A7"/>
    <w:rsid w:val="00EB1257"/>
    <w:rsid w:val="00EB1CE8"/>
    <w:rsid w:val="00EB26F5"/>
    <w:rsid w:val="00EB4820"/>
    <w:rsid w:val="00EB489E"/>
    <w:rsid w:val="00EB4F01"/>
    <w:rsid w:val="00EB65F3"/>
    <w:rsid w:val="00EB6B8D"/>
    <w:rsid w:val="00EC0625"/>
    <w:rsid w:val="00EC1A86"/>
    <w:rsid w:val="00EC1CB4"/>
    <w:rsid w:val="00EC412A"/>
    <w:rsid w:val="00EC496B"/>
    <w:rsid w:val="00EC523C"/>
    <w:rsid w:val="00EC56DD"/>
    <w:rsid w:val="00EC684F"/>
    <w:rsid w:val="00EC6A52"/>
    <w:rsid w:val="00ED0EDB"/>
    <w:rsid w:val="00ED16DC"/>
    <w:rsid w:val="00ED368F"/>
    <w:rsid w:val="00ED41E8"/>
    <w:rsid w:val="00ED4A4D"/>
    <w:rsid w:val="00ED581D"/>
    <w:rsid w:val="00ED66F9"/>
    <w:rsid w:val="00ED7504"/>
    <w:rsid w:val="00ED7B10"/>
    <w:rsid w:val="00EE3800"/>
    <w:rsid w:val="00EE5627"/>
    <w:rsid w:val="00EE5DD4"/>
    <w:rsid w:val="00EE73B0"/>
    <w:rsid w:val="00EE73D3"/>
    <w:rsid w:val="00EF1FCE"/>
    <w:rsid w:val="00EF31D8"/>
    <w:rsid w:val="00EF32BA"/>
    <w:rsid w:val="00EF3978"/>
    <w:rsid w:val="00EF4D7F"/>
    <w:rsid w:val="00EF5293"/>
    <w:rsid w:val="00EF5C5D"/>
    <w:rsid w:val="00EF6360"/>
    <w:rsid w:val="00EF7375"/>
    <w:rsid w:val="00EF7678"/>
    <w:rsid w:val="00EF7A19"/>
    <w:rsid w:val="00F0064D"/>
    <w:rsid w:val="00F0073F"/>
    <w:rsid w:val="00F02C90"/>
    <w:rsid w:val="00F04742"/>
    <w:rsid w:val="00F05512"/>
    <w:rsid w:val="00F0631D"/>
    <w:rsid w:val="00F11E40"/>
    <w:rsid w:val="00F12C38"/>
    <w:rsid w:val="00F13180"/>
    <w:rsid w:val="00F1354E"/>
    <w:rsid w:val="00F13A16"/>
    <w:rsid w:val="00F1570E"/>
    <w:rsid w:val="00F20B74"/>
    <w:rsid w:val="00F22E92"/>
    <w:rsid w:val="00F306A7"/>
    <w:rsid w:val="00F31116"/>
    <w:rsid w:val="00F313B4"/>
    <w:rsid w:val="00F3180D"/>
    <w:rsid w:val="00F31C09"/>
    <w:rsid w:val="00F33C4F"/>
    <w:rsid w:val="00F34349"/>
    <w:rsid w:val="00F35C93"/>
    <w:rsid w:val="00F36CB6"/>
    <w:rsid w:val="00F4042B"/>
    <w:rsid w:val="00F42C95"/>
    <w:rsid w:val="00F4693A"/>
    <w:rsid w:val="00F47D29"/>
    <w:rsid w:val="00F52116"/>
    <w:rsid w:val="00F536D9"/>
    <w:rsid w:val="00F53A14"/>
    <w:rsid w:val="00F53D56"/>
    <w:rsid w:val="00F54247"/>
    <w:rsid w:val="00F54ED7"/>
    <w:rsid w:val="00F563C1"/>
    <w:rsid w:val="00F56987"/>
    <w:rsid w:val="00F5699A"/>
    <w:rsid w:val="00F57050"/>
    <w:rsid w:val="00F5736C"/>
    <w:rsid w:val="00F61CEA"/>
    <w:rsid w:val="00F624FC"/>
    <w:rsid w:val="00F633EA"/>
    <w:rsid w:val="00F63561"/>
    <w:rsid w:val="00F644D5"/>
    <w:rsid w:val="00F65C1E"/>
    <w:rsid w:val="00F66572"/>
    <w:rsid w:val="00F70921"/>
    <w:rsid w:val="00F70DFD"/>
    <w:rsid w:val="00F71B95"/>
    <w:rsid w:val="00F722B0"/>
    <w:rsid w:val="00F741E7"/>
    <w:rsid w:val="00F74361"/>
    <w:rsid w:val="00F74444"/>
    <w:rsid w:val="00F76E2E"/>
    <w:rsid w:val="00F778B0"/>
    <w:rsid w:val="00F805BD"/>
    <w:rsid w:val="00F80F04"/>
    <w:rsid w:val="00F8456A"/>
    <w:rsid w:val="00F84786"/>
    <w:rsid w:val="00F851AE"/>
    <w:rsid w:val="00F86747"/>
    <w:rsid w:val="00F931BD"/>
    <w:rsid w:val="00F965D0"/>
    <w:rsid w:val="00F97440"/>
    <w:rsid w:val="00F978E9"/>
    <w:rsid w:val="00FA1518"/>
    <w:rsid w:val="00FA1D9E"/>
    <w:rsid w:val="00FA5730"/>
    <w:rsid w:val="00FB0403"/>
    <w:rsid w:val="00FB1ADF"/>
    <w:rsid w:val="00FB1B66"/>
    <w:rsid w:val="00FB5C17"/>
    <w:rsid w:val="00FB76FB"/>
    <w:rsid w:val="00FB7A58"/>
    <w:rsid w:val="00FC146F"/>
    <w:rsid w:val="00FC2372"/>
    <w:rsid w:val="00FC31D7"/>
    <w:rsid w:val="00FC41E6"/>
    <w:rsid w:val="00FC477A"/>
    <w:rsid w:val="00FC6AE0"/>
    <w:rsid w:val="00FC743F"/>
    <w:rsid w:val="00FC765F"/>
    <w:rsid w:val="00FC7F45"/>
    <w:rsid w:val="00FD05C0"/>
    <w:rsid w:val="00FD4234"/>
    <w:rsid w:val="00FD4C6E"/>
    <w:rsid w:val="00FD4DF6"/>
    <w:rsid w:val="00FD5BD5"/>
    <w:rsid w:val="00FD6C34"/>
    <w:rsid w:val="00FE08E6"/>
    <w:rsid w:val="00FE0F58"/>
    <w:rsid w:val="00FE308C"/>
    <w:rsid w:val="00FE35BC"/>
    <w:rsid w:val="00FE4078"/>
    <w:rsid w:val="00FE634E"/>
    <w:rsid w:val="00FE7D54"/>
    <w:rsid w:val="00FF178D"/>
    <w:rsid w:val="00FF1900"/>
    <w:rsid w:val="00FF4ED2"/>
    <w:rsid w:val="00FF4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ersonName"/>
  <w:smartTagType w:namespaceuri="urn:schemas-microsoft-com:office:smarttags" w:name="Street"/>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81661"/>
    <w:pPr>
      <w:widowControl w:val="0"/>
      <w:autoSpaceDE w:val="0"/>
      <w:autoSpaceDN w:val="0"/>
      <w:adjustRightInd w:val="0"/>
      <w:spacing w:before="120" w:after="120"/>
      <w:ind w:firstLine="432"/>
      <w:jc w:val="both"/>
    </w:pPr>
    <w:rPr>
      <w:rFonts w:eastAsia="Times New Roman"/>
      <w:sz w:val="24"/>
      <w:szCs w:val="24"/>
      <w:lang w:eastAsia="fr-FR"/>
    </w:rPr>
  </w:style>
  <w:style w:type="paragraph" w:styleId="Heading1">
    <w:name w:val="heading 1"/>
    <w:basedOn w:val="Normal"/>
    <w:next w:val="Normal"/>
    <w:link w:val="Heading1Char"/>
    <w:uiPriority w:val="99"/>
    <w:qFormat/>
    <w:rsid w:val="0030259F"/>
    <w:pPr>
      <w:keepNext/>
      <w:spacing w:before="240" w:after="60"/>
      <w:ind w:firstLine="0"/>
      <w:outlineLvl w:val="0"/>
    </w:pPr>
    <w:rPr>
      <w:b/>
      <w:bCs/>
      <w:kern w:val="32"/>
      <w:sz w:val="28"/>
      <w:szCs w:val="28"/>
    </w:rPr>
  </w:style>
  <w:style w:type="paragraph" w:styleId="Heading2">
    <w:name w:val="heading 2"/>
    <w:basedOn w:val="Normal"/>
    <w:next w:val="Normal"/>
    <w:link w:val="Heading2Char"/>
    <w:uiPriority w:val="99"/>
    <w:qFormat/>
    <w:rsid w:val="0030259F"/>
    <w:pPr>
      <w:keepNext/>
      <w:spacing w:before="240" w:after="60"/>
      <w:ind w:firstLine="0"/>
      <w:outlineLvl w:val="1"/>
    </w:pPr>
    <w:rPr>
      <w:b/>
      <w:bCs/>
      <w:iCs/>
    </w:rPr>
  </w:style>
  <w:style w:type="paragraph" w:styleId="Heading3">
    <w:name w:val="heading 3"/>
    <w:basedOn w:val="Normal"/>
    <w:next w:val="Normal"/>
    <w:link w:val="Heading3Char"/>
    <w:uiPriority w:val="99"/>
    <w:qFormat/>
    <w:rsid w:val="0030259F"/>
    <w:pPr>
      <w:outlineLvl w:val="2"/>
    </w:pPr>
    <w:rPr>
      <w:rFonts w:ascii="Calibri" w:hAnsi="Calibri"/>
      <w:b/>
    </w:rPr>
  </w:style>
  <w:style w:type="paragraph" w:styleId="Heading4">
    <w:name w:val="heading 4"/>
    <w:basedOn w:val="TableofFigures"/>
    <w:next w:val="TableofFigures"/>
    <w:link w:val="Heading4Char"/>
    <w:uiPriority w:val="99"/>
    <w:qFormat/>
    <w:rsid w:val="00D9149D"/>
    <w:pPr>
      <w:keepNext/>
      <w:outlineLvl w:val="3"/>
    </w:pPr>
    <w:rPr>
      <w:b/>
      <w:sz w:val="22"/>
    </w:rPr>
  </w:style>
  <w:style w:type="paragraph" w:styleId="Heading5">
    <w:name w:val="heading 5"/>
    <w:basedOn w:val="Normal"/>
    <w:next w:val="Normal"/>
    <w:link w:val="Heading5Char"/>
    <w:uiPriority w:val="99"/>
    <w:qFormat/>
    <w:locked/>
    <w:rsid w:val="00F11E4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B6747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59F"/>
    <w:rPr>
      <w:rFonts w:ascii="Times New Roman" w:hAnsi="Times New Roman" w:cs="Times New Roman"/>
      <w:b/>
      <w:bCs/>
      <w:kern w:val="32"/>
      <w:sz w:val="28"/>
      <w:szCs w:val="28"/>
      <w:lang w:eastAsia="fr-FR"/>
    </w:rPr>
  </w:style>
  <w:style w:type="character" w:customStyle="1" w:styleId="Heading2Char">
    <w:name w:val="Heading 2 Char"/>
    <w:basedOn w:val="DefaultParagraphFont"/>
    <w:link w:val="Heading2"/>
    <w:uiPriority w:val="99"/>
    <w:locked/>
    <w:rsid w:val="0030259F"/>
    <w:rPr>
      <w:rFonts w:ascii="Times New Roman" w:hAnsi="Times New Roman" w:cs="Times New Roman"/>
      <w:b/>
      <w:bCs/>
      <w:iCs/>
      <w:sz w:val="24"/>
      <w:szCs w:val="24"/>
      <w:lang w:eastAsia="fr-FR"/>
    </w:rPr>
  </w:style>
  <w:style w:type="character" w:customStyle="1" w:styleId="Heading3Char">
    <w:name w:val="Heading 3 Char"/>
    <w:basedOn w:val="DefaultParagraphFont"/>
    <w:link w:val="Heading3"/>
    <w:uiPriority w:val="99"/>
    <w:locked/>
    <w:rsid w:val="0030259F"/>
    <w:rPr>
      <w:rFonts w:ascii="Calibri" w:hAnsi="Calibri" w:cs="Times New Roman"/>
      <w:b/>
      <w:sz w:val="24"/>
      <w:szCs w:val="24"/>
      <w:lang w:eastAsia="fr-FR"/>
    </w:rPr>
  </w:style>
  <w:style w:type="character" w:customStyle="1" w:styleId="Heading4Char">
    <w:name w:val="Heading 4 Char"/>
    <w:basedOn w:val="DefaultParagraphFont"/>
    <w:link w:val="Heading4"/>
    <w:uiPriority w:val="99"/>
    <w:locked/>
    <w:rsid w:val="00D9149D"/>
    <w:rPr>
      <w:rFonts w:ascii="Times New Roman" w:hAnsi="Times New Roman" w:cs="Times New Roman"/>
      <w:b/>
      <w:sz w:val="24"/>
      <w:szCs w:val="24"/>
      <w:lang w:val="en-US"/>
    </w:rPr>
  </w:style>
  <w:style w:type="character" w:customStyle="1" w:styleId="Heading5Char">
    <w:name w:val="Heading 5 Char"/>
    <w:basedOn w:val="DefaultParagraphFont"/>
    <w:link w:val="Heading5"/>
    <w:uiPriority w:val="99"/>
    <w:locked/>
    <w:rsid w:val="00F11E40"/>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B67478"/>
    <w:rPr>
      <w:rFonts w:ascii="Cambria" w:hAnsi="Cambria" w:cs="Times New Roman"/>
      <w:i/>
      <w:iCs/>
      <w:color w:val="243F60"/>
      <w:sz w:val="24"/>
      <w:szCs w:val="24"/>
      <w:lang w:eastAsia="fr-FR"/>
    </w:rPr>
  </w:style>
  <w:style w:type="paragraph" w:styleId="BalloonText">
    <w:name w:val="Balloon Text"/>
    <w:basedOn w:val="Normal"/>
    <w:link w:val="BalloonTextChar"/>
    <w:uiPriority w:val="99"/>
    <w:semiHidden/>
    <w:rsid w:val="00D9149D"/>
    <w:rPr>
      <w:rFonts w:ascii="Tahoma" w:hAnsi="Tahoma" w:cs="SPSTimes-Roman"/>
      <w:sz w:val="16"/>
      <w:szCs w:val="16"/>
    </w:rPr>
  </w:style>
  <w:style w:type="character" w:customStyle="1" w:styleId="BalloonTextChar">
    <w:name w:val="Balloon Text Char"/>
    <w:basedOn w:val="DefaultParagraphFont"/>
    <w:link w:val="BalloonText"/>
    <w:uiPriority w:val="99"/>
    <w:semiHidden/>
    <w:locked/>
    <w:rsid w:val="00D9149D"/>
    <w:rPr>
      <w:rFonts w:ascii="Tahoma" w:hAnsi="Tahoma" w:cs="SPSTimes-Roman"/>
      <w:sz w:val="16"/>
      <w:szCs w:val="16"/>
      <w:lang w:val="en-US"/>
    </w:rPr>
  </w:style>
  <w:style w:type="paragraph" w:styleId="Header">
    <w:name w:val="header"/>
    <w:basedOn w:val="Normal"/>
    <w:link w:val="HeaderChar"/>
    <w:uiPriority w:val="99"/>
    <w:rsid w:val="00D9149D"/>
    <w:pPr>
      <w:tabs>
        <w:tab w:val="center" w:pos="4320"/>
        <w:tab w:val="right" w:pos="8640"/>
      </w:tabs>
    </w:pPr>
  </w:style>
  <w:style w:type="character" w:customStyle="1" w:styleId="HeaderChar">
    <w:name w:val="Header Char"/>
    <w:basedOn w:val="DefaultParagraphFont"/>
    <w:link w:val="Header"/>
    <w:uiPriority w:val="99"/>
    <w:locked/>
    <w:rsid w:val="00D9149D"/>
    <w:rPr>
      <w:rFonts w:ascii="Times New Roman" w:hAnsi="Times New Roman" w:cs="Times New Roman"/>
      <w:sz w:val="24"/>
      <w:szCs w:val="24"/>
      <w:lang w:val="en-US"/>
    </w:rPr>
  </w:style>
  <w:style w:type="character" w:styleId="PageNumber">
    <w:name w:val="page number"/>
    <w:basedOn w:val="DefaultParagraphFont"/>
    <w:uiPriority w:val="99"/>
    <w:rsid w:val="00D9149D"/>
    <w:rPr>
      <w:rFonts w:cs="Times New Roman"/>
    </w:rPr>
  </w:style>
  <w:style w:type="paragraph" w:styleId="Footer">
    <w:name w:val="footer"/>
    <w:basedOn w:val="Normal"/>
    <w:link w:val="FooterChar"/>
    <w:uiPriority w:val="99"/>
    <w:rsid w:val="00D9149D"/>
    <w:pPr>
      <w:tabs>
        <w:tab w:val="center" w:pos="4680"/>
        <w:tab w:val="right" w:pos="9360"/>
      </w:tabs>
    </w:pPr>
  </w:style>
  <w:style w:type="character" w:customStyle="1" w:styleId="FooterChar">
    <w:name w:val="Footer Char"/>
    <w:basedOn w:val="DefaultParagraphFont"/>
    <w:link w:val="Footer"/>
    <w:uiPriority w:val="99"/>
    <w:locked/>
    <w:rsid w:val="00D9149D"/>
    <w:rPr>
      <w:rFonts w:ascii="Times New Roman" w:hAnsi="Times New Roman" w:cs="Times New Roman"/>
      <w:sz w:val="24"/>
      <w:szCs w:val="24"/>
      <w:lang w:val="en-US"/>
    </w:rPr>
  </w:style>
  <w:style w:type="paragraph" w:styleId="FootnoteText">
    <w:name w:val="footnote text"/>
    <w:basedOn w:val="Normal"/>
    <w:link w:val="FootnoteTextChar"/>
    <w:uiPriority w:val="99"/>
    <w:rsid w:val="00D9149D"/>
    <w:rPr>
      <w:sz w:val="20"/>
      <w:szCs w:val="20"/>
    </w:rPr>
  </w:style>
  <w:style w:type="character" w:customStyle="1" w:styleId="FootnoteTextChar">
    <w:name w:val="Footnote Text Char"/>
    <w:basedOn w:val="DefaultParagraphFont"/>
    <w:link w:val="FootnoteText"/>
    <w:uiPriority w:val="99"/>
    <w:locked/>
    <w:rsid w:val="00D9149D"/>
    <w:rPr>
      <w:rFonts w:ascii="Times New Roman" w:hAnsi="Times New Roman" w:cs="Times New Roman"/>
      <w:sz w:val="20"/>
      <w:szCs w:val="20"/>
      <w:lang w:val="en-US"/>
    </w:rPr>
  </w:style>
  <w:style w:type="character" w:styleId="FootnoteReference">
    <w:name w:val="footnote reference"/>
    <w:basedOn w:val="DefaultParagraphFont"/>
    <w:uiPriority w:val="99"/>
    <w:rsid w:val="00D9149D"/>
    <w:rPr>
      <w:rFonts w:cs="Times New Roman"/>
      <w:vertAlign w:val="superscript"/>
    </w:rPr>
  </w:style>
  <w:style w:type="paragraph" w:styleId="TOCHeading">
    <w:name w:val="TOC Heading"/>
    <w:basedOn w:val="Heading1"/>
    <w:next w:val="Normal"/>
    <w:uiPriority w:val="99"/>
    <w:qFormat/>
    <w:rsid w:val="00D9149D"/>
    <w:pPr>
      <w:keepLines/>
      <w:widowControl/>
      <w:autoSpaceDE/>
      <w:autoSpaceDN/>
      <w:adjustRightInd/>
      <w:spacing w:before="480" w:after="0" w:line="276" w:lineRule="auto"/>
      <w:outlineLvl w:val="9"/>
    </w:pPr>
    <w:rPr>
      <w:rFonts w:ascii="Cambria" w:hAnsi="Cambria"/>
      <w:color w:val="365F91"/>
      <w:kern w:val="0"/>
    </w:rPr>
  </w:style>
  <w:style w:type="paragraph" w:styleId="TOC2">
    <w:name w:val="toc 2"/>
    <w:basedOn w:val="Normal"/>
    <w:next w:val="Normal"/>
    <w:autoRedefine/>
    <w:uiPriority w:val="99"/>
    <w:rsid w:val="00D9149D"/>
    <w:pPr>
      <w:ind w:left="240"/>
    </w:pPr>
    <w:rPr>
      <w:rFonts w:ascii="Calibri" w:hAnsi="Calibri"/>
      <w:smallCaps/>
      <w:sz w:val="20"/>
      <w:szCs w:val="20"/>
    </w:rPr>
  </w:style>
  <w:style w:type="paragraph" w:styleId="TOC1">
    <w:name w:val="toc 1"/>
    <w:basedOn w:val="Normal"/>
    <w:next w:val="Normal"/>
    <w:autoRedefine/>
    <w:uiPriority w:val="99"/>
    <w:rsid w:val="00D9149D"/>
    <w:rPr>
      <w:rFonts w:ascii="Calibri" w:hAnsi="Calibri"/>
      <w:b/>
      <w:bCs/>
      <w:caps/>
      <w:sz w:val="20"/>
      <w:szCs w:val="20"/>
    </w:rPr>
  </w:style>
  <w:style w:type="paragraph" w:styleId="TOC3">
    <w:name w:val="toc 3"/>
    <w:basedOn w:val="Normal"/>
    <w:next w:val="Normal"/>
    <w:autoRedefine/>
    <w:uiPriority w:val="99"/>
    <w:rsid w:val="00D9149D"/>
    <w:pPr>
      <w:ind w:left="480"/>
    </w:pPr>
    <w:rPr>
      <w:rFonts w:ascii="Calibri" w:hAnsi="Calibri"/>
      <w:i/>
      <w:iCs/>
      <w:sz w:val="20"/>
      <w:szCs w:val="20"/>
    </w:rPr>
  </w:style>
  <w:style w:type="paragraph" w:styleId="TOC4">
    <w:name w:val="toc 4"/>
    <w:basedOn w:val="Normal"/>
    <w:next w:val="Normal"/>
    <w:autoRedefine/>
    <w:uiPriority w:val="99"/>
    <w:rsid w:val="00D9149D"/>
    <w:pPr>
      <w:ind w:left="720"/>
    </w:pPr>
    <w:rPr>
      <w:rFonts w:ascii="Calibri" w:hAnsi="Calibri"/>
      <w:sz w:val="18"/>
      <w:szCs w:val="18"/>
    </w:rPr>
  </w:style>
  <w:style w:type="paragraph" w:styleId="TOC5">
    <w:name w:val="toc 5"/>
    <w:basedOn w:val="Normal"/>
    <w:next w:val="Normal"/>
    <w:autoRedefine/>
    <w:uiPriority w:val="99"/>
    <w:rsid w:val="00D9149D"/>
    <w:pPr>
      <w:ind w:left="960"/>
    </w:pPr>
    <w:rPr>
      <w:rFonts w:ascii="Calibri" w:hAnsi="Calibri"/>
      <w:sz w:val="18"/>
      <w:szCs w:val="18"/>
    </w:rPr>
  </w:style>
  <w:style w:type="paragraph" w:styleId="TOC6">
    <w:name w:val="toc 6"/>
    <w:basedOn w:val="Normal"/>
    <w:next w:val="Normal"/>
    <w:autoRedefine/>
    <w:uiPriority w:val="99"/>
    <w:rsid w:val="00D9149D"/>
    <w:pPr>
      <w:ind w:left="1200"/>
    </w:pPr>
    <w:rPr>
      <w:rFonts w:ascii="Calibri" w:hAnsi="Calibri"/>
      <w:sz w:val="18"/>
      <w:szCs w:val="18"/>
    </w:rPr>
  </w:style>
  <w:style w:type="paragraph" w:styleId="TOC7">
    <w:name w:val="toc 7"/>
    <w:basedOn w:val="Normal"/>
    <w:next w:val="Normal"/>
    <w:autoRedefine/>
    <w:uiPriority w:val="99"/>
    <w:rsid w:val="00D9149D"/>
    <w:pPr>
      <w:ind w:left="1440"/>
    </w:pPr>
    <w:rPr>
      <w:rFonts w:ascii="Calibri" w:hAnsi="Calibri"/>
      <w:sz w:val="18"/>
      <w:szCs w:val="18"/>
    </w:rPr>
  </w:style>
  <w:style w:type="paragraph" w:styleId="TOC8">
    <w:name w:val="toc 8"/>
    <w:basedOn w:val="Normal"/>
    <w:next w:val="Normal"/>
    <w:autoRedefine/>
    <w:uiPriority w:val="99"/>
    <w:rsid w:val="00D9149D"/>
    <w:pPr>
      <w:ind w:left="1680"/>
    </w:pPr>
    <w:rPr>
      <w:rFonts w:ascii="Calibri" w:hAnsi="Calibri"/>
      <w:sz w:val="18"/>
      <w:szCs w:val="18"/>
    </w:rPr>
  </w:style>
  <w:style w:type="paragraph" w:styleId="TOC9">
    <w:name w:val="toc 9"/>
    <w:basedOn w:val="Normal"/>
    <w:next w:val="Normal"/>
    <w:autoRedefine/>
    <w:uiPriority w:val="99"/>
    <w:rsid w:val="00D9149D"/>
    <w:pPr>
      <w:ind w:left="1920"/>
    </w:pPr>
    <w:rPr>
      <w:rFonts w:ascii="Calibri" w:hAnsi="Calibri"/>
      <w:sz w:val="18"/>
      <w:szCs w:val="18"/>
    </w:rPr>
  </w:style>
  <w:style w:type="character" w:styleId="Hyperlink">
    <w:name w:val="Hyperlink"/>
    <w:basedOn w:val="DefaultParagraphFont"/>
    <w:uiPriority w:val="99"/>
    <w:rsid w:val="00D9149D"/>
    <w:rPr>
      <w:rFonts w:cs="Times New Roman"/>
      <w:color w:val="0000FF"/>
      <w:u w:val="single"/>
    </w:rPr>
  </w:style>
  <w:style w:type="character" w:styleId="CommentReference">
    <w:name w:val="annotation reference"/>
    <w:basedOn w:val="DefaultParagraphFont"/>
    <w:uiPriority w:val="99"/>
    <w:rsid w:val="00D9149D"/>
    <w:rPr>
      <w:rFonts w:cs="Times New Roman"/>
      <w:sz w:val="16"/>
      <w:szCs w:val="16"/>
    </w:rPr>
  </w:style>
  <w:style w:type="paragraph" w:styleId="ListNumber">
    <w:name w:val="List Number"/>
    <w:basedOn w:val="Normal"/>
    <w:uiPriority w:val="99"/>
    <w:rsid w:val="00D9149D"/>
    <w:pPr>
      <w:tabs>
        <w:tab w:val="num" w:pos="360"/>
      </w:tabs>
      <w:ind w:left="360" w:hanging="360"/>
      <w:contextualSpacing/>
    </w:pPr>
  </w:style>
  <w:style w:type="paragraph" w:styleId="TableofFigures">
    <w:name w:val="table of figures"/>
    <w:basedOn w:val="Normal"/>
    <w:next w:val="Normal"/>
    <w:uiPriority w:val="99"/>
    <w:rsid w:val="00D9149D"/>
  </w:style>
  <w:style w:type="paragraph" w:styleId="CommentText">
    <w:name w:val="annotation text"/>
    <w:basedOn w:val="Normal"/>
    <w:link w:val="CommentTextChar"/>
    <w:uiPriority w:val="99"/>
    <w:rsid w:val="00D9149D"/>
    <w:pPr>
      <w:widowControl/>
      <w:autoSpaceDE/>
      <w:autoSpaceDN/>
      <w:adjustRightInd/>
    </w:pPr>
    <w:rPr>
      <w:sz w:val="20"/>
      <w:szCs w:val="20"/>
    </w:rPr>
  </w:style>
  <w:style w:type="character" w:customStyle="1" w:styleId="CommentTextChar">
    <w:name w:val="Comment Text Char"/>
    <w:basedOn w:val="DefaultParagraphFont"/>
    <w:link w:val="CommentText"/>
    <w:uiPriority w:val="99"/>
    <w:locked/>
    <w:rsid w:val="00D9149D"/>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D9149D"/>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D9149D"/>
    <w:rPr>
      <w:b/>
      <w:bCs/>
    </w:rPr>
  </w:style>
  <w:style w:type="paragraph" w:customStyle="1" w:styleId="Default">
    <w:name w:val="Default"/>
    <w:link w:val="DefaultChar"/>
    <w:uiPriority w:val="99"/>
    <w:rsid w:val="00D9149D"/>
    <w:pPr>
      <w:autoSpaceDE w:val="0"/>
      <w:autoSpaceDN w:val="0"/>
      <w:adjustRightInd w:val="0"/>
      <w:spacing w:after="120"/>
    </w:pPr>
    <w:rPr>
      <w:rFonts w:eastAsia="Times New Roman" w:cs="Calibri"/>
      <w:color w:val="000000"/>
      <w:sz w:val="24"/>
      <w:szCs w:val="24"/>
    </w:rPr>
  </w:style>
  <w:style w:type="paragraph" w:styleId="ListParagraph">
    <w:name w:val="List Paragraph"/>
    <w:basedOn w:val="Normal"/>
    <w:uiPriority w:val="99"/>
    <w:qFormat/>
    <w:rsid w:val="00D9149D"/>
    <w:pPr>
      <w:ind w:left="720"/>
      <w:contextualSpacing/>
    </w:pPr>
  </w:style>
  <w:style w:type="paragraph" w:styleId="NormalWeb">
    <w:name w:val="Normal (Web)"/>
    <w:basedOn w:val="Normal"/>
    <w:link w:val="NormalWebChar"/>
    <w:uiPriority w:val="99"/>
    <w:rsid w:val="00D9149D"/>
    <w:pPr>
      <w:widowControl/>
      <w:autoSpaceDE/>
      <w:autoSpaceDN/>
      <w:adjustRightInd/>
      <w:spacing w:before="100" w:beforeAutospacing="1" w:after="100" w:afterAutospacing="1"/>
    </w:pPr>
    <w:rPr>
      <w:lang w:val="fr-FR"/>
    </w:rPr>
  </w:style>
  <w:style w:type="character" w:styleId="PlaceholderText">
    <w:name w:val="Placeholder Text"/>
    <w:basedOn w:val="DefaultParagraphFont"/>
    <w:uiPriority w:val="99"/>
    <w:semiHidden/>
    <w:rsid w:val="00D9149D"/>
    <w:rPr>
      <w:rFonts w:cs="Times New Roman"/>
      <w:color w:val="808080"/>
    </w:rPr>
  </w:style>
  <w:style w:type="paragraph" w:styleId="HTMLPreformatted">
    <w:name w:val="HTML Preformatted"/>
    <w:basedOn w:val="Normal"/>
    <w:link w:val="HTMLPreformattedChar"/>
    <w:uiPriority w:val="99"/>
    <w:rsid w:val="00D914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lang w:val="fr-FR"/>
    </w:rPr>
  </w:style>
  <w:style w:type="character" w:customStyle="1" w:styleId="HTMLPreformattedChar">
    <w:name w:val="HTML Preformatted Char"/>
    <w:basedOn w:val="DefaultParagraphFont"/>
    <w:link w:val="HTMLPreformatted"/>
    <w:uiPriority w:val="99"/>
    <w:locked/>
    <w:rsid w:val="00D9149D"/>
    <w:rPr>
      <w:rFonts w:ascii="Courier New" w:hAnsi="Courier New" w:cs="Courier New"/>
      <w:color w:val="000000"/>
      <w:sz w:val="20"/>
      <w:szCs w:val="20"/>
      <w:lang w:eastAsia="fr-FR"/>
    </w:rPr>
  </w:style>
  <w:style w:type="paragraph" w:styleId="NoSpacing">
    <w:name w:val="No Spacing"/>
    <w:uiPriority w:val="99"/>
    <w:qFormat/>
    <w:rsid w:val="00D9149D"/>
    <w:pPr>
      <w:widowControl w:val="0"/>
      <w:autoSpaceDE w:val="0"/>
      <w:autoSpaceDN w:val="0"/>
      <w:adjustRightInd w:val="0"/>
      <w:spacing w:after="120"/>
    </w:pPr>
    <w:rPr>
      <w:rFonts w:eastAsia="Times New Roman"/>
      <w:sz w:val="24"/>
      <w:szCs w:val="24"/>
    </w:rPr>
  </w:style>
  <w:style w:type="character" w:customStyle="1" w:styleId="FootnoteTextChar1">
    <w:name w:val="Footnote Text Char1"/>
    <w:basedOn w:val="DefaultParagraphFont"/>
    <w:uiPriority w:val="99"/>
    <w:locked/>
    <w:rsid w:val="00224EC5"/>
    <w:rPr>
      <w:rFonts w:cs="Times New Roman"/>
      <w:lang w:val="en-GB" w:eastAsia="en-GB"/>
    </w:rPr>
  </w:style>
  <w:style w:type="table" w:styleId="TableGrid">
    <w:name w:val="Table Grid"/>
    <w:basedOn w:val="TableNormal"/>
    <w:uiPriority w:val="99"/>
    <w:rsid w:val="00F633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D6095"/>
    <w:pPr>
      <w:numPr>
        <w:ilvl w:val="1"/>
      </w:numPr>
      <w:ind w:firstLine="432"/>
    </w:pPr>
    <w:rPr>
      <w:rFonts w:ascii="Cambria" w:hAnsi="Cambria"/>
      <w:i/>
      <w:iCs/>
      <w:color w:val="4F81BD"/>
      <w:spacing w:val="15"/>
    </w:rPr>
  </w:style>
  <w:style w:type="character" w:customStyle="1" w:styleId="SubtitleChar">
    <w:name w:val="Subtitle Char"/>
    <w:basedOn w:val="DefaultParagraphFont"/>
    <w:link w:val="Subtitle"/>
    <w:uiPriority w:val="99"/>
    <w:locked/>
    <w:rsid w:val="003D6095"/>
    <w:rPr>
      <w:rFonts w:ascii="Cambria" w:hAnsi="Cambria" w:cs="Times New Roman"/>
      <w:i/>
      <w:iCs/>
      <w:color w:val="4F81BD"/>
      <w:spacing w:val="15"/>
      <w:sz w:val="24"/>
      <w:szCs w:val="24"/>
      <w:lang w:val="en-US" w:eastAsia="en-US"/>
    </w:rPr>
  </w:style>
  <w:style w:type="character" w:customStyle="1" w:styleId="NormalWebChar">
    <w:name w:val="Normal (Web) Char"/>
    <w:basedOn w:val="DefaultParagraphFont"/>
    <w:link w:val="NormalWeb"/>
    <w:uiPriority w:val="99"/>
    <w:locked/>
    <w:rsid w:val="00D077CC"/>
    <w:rPr>
      <w:rFonts w:ascii="Times New Roman" w:hAnsi="Times New Roman" w:cs="Times New Roman"/>
      <w:sz w:val="24"/>
      <w:szCs w:val="24"/>
    </w:rPr>
  </w:style>
  <w:style w:type="character" w:styleId="Strong">
    <w:name w:val="Strong"/>
    <w:basedOn w:val="DefaultParagraphFont"/>
    <w:uiPriority w:val="99"/>
    <w:qFormat/>
    <w:rsid w:val="00D077CC"/>
    <w:rPr>
      <w:rFonts w:cs="Times New Roman"/>
      <w:b/>
      <w:bCs/>
    </w:rPr>
  </w:style>
  <w:style w:type="paragraph" w:styleId="Revision">
    <w:name w:val="Revision"/>
    <w:hidden/>
    <w:uiPriority w:val="99"/>
    <w:semiHidden/>
    <w:rsid w:val="009A3E80"/>
    <w:pPr>
      <w:spacing w:after="120"/>
    </w:pPr>
    <w:rPr>
      <w:rFonts w:eastAsia="Times New Roman"/>
      <w:sz w:val="24"/>
      <w:szCs w:val="24"/>
    </w:rPr>
  </w:style>
  <w:style w:type="character" w:styleId="FollowedHyperlink">
    <w:name w:val="FollowedHyperlink"/>
    <w:basedOn w:val="DefaultParagraphFont"/>
    <w:uiPriority w:val="99"/>
    <w:semiHidden/>
    <w:locked/>
    <w:rsid w:val="00CC3D96"/>
    <w:rPr>
      <w:rFonts w:cs="Times New Roman"/>
      <w:color w:val="800080"/>
      <w:u w:val="single"/>
    </w:rPr>
  </w:style>
  <w:style w:type="paragraph" w:styleId="Caption">
    <w:name w:val="caption"/>
    <w:basedOn w:val="Normal"/>
    <w:next w:val="Normal"/>
    <w:uiPriority w:val="99"/>
    <w:qFormat/>
    <w:locked/>
    <w:rsid w:val="00BB32B3"/>
    <w:pPr>
      <w:spacing w:after="200"/>
    </w:pPr>
    <w:rPr>
      <w:b/>
      <w:bCs/>
      <w:color w:val="4F81BD"/>
      <w:sz w:val="18"/>
      <w:szCs w:val="18"/>
    </w:rPr>
  </w:style>
  <w:style w:type="character" w:customStyle="1" w:styleId="DefaultChar">
    <w:name w:val="Default Char"/>
    <w:basedOn w:val="DefaultParagraphFont"/>
    <w:link w:val="Default"/>
    <w:uiPriority w:val="99"/>
    <w:locked/>
    <w:rsid w:val="00607BB1"/>
    <w:rPr>
      <w:rFonts w:eastAsia="Times New Roman" w:cs="Calibri"/>
      <w:color w:val="000000"/>
      <w:sz w:val="24"/>
      <w:szCs w:val="24"/>
      <w:lang w:val="en-US" w:eastAsia="en-US" w:bidi="ar-SA"/>
    </w:rPr>
  </w:style>
  <w:style w:type="character" w:customStyle="1" w:styleId="citation-volume">
    <w:name w:val="citation-volume"/>
    <w:basedOn w:val="DefaultParagraphFont"/>
    <w:uiPriority w:val="99"/>
    <w:rsid w:val="00052EC9"/>
    <w:rPr>
      <w:rFonts w:cs="Times New Roman"/>
    </w:rPr>
  </w:style>
  <w:style w:type="character" w:customStyle="1" w:styleId="citation-issue">
    <w:name w:val="citation-issue"/>
    <w:basedOn w:val="DefaultParagraphFont"/>
    <w:uiPriority w:val="99"/>
    <w:rsid w:val="00052EC9"/>
    <w:rPr>
      <w:rFonts w:cs="Times New Roman"/>
    </w:rPr>
  </w:style>
  <w:style w:type="character" w:customStyle="1" w:styleId="citation-flpages">
    <w:name w:val="citation-flpages"/>
    <w:basedOn w:val="DefaultParagraphFont"/>
    <w:uiPriority w:val="99"/>
    <w:rsid w:val="00052EC9"/>
    <w:rPr>
      <w:rFonts w:cs="Times New Roman"/>
    </w:rPr>
  </w:style>
  <w:style w:type="character" w:customStyle="1" w:styleId="apple-style-span">
    <w:name w:val="apple-style-span"/>
    <w:basedOn w:val="DefaultParagraphFont"/>
    <w:uiPriority w:val="99"/>
    <w:rsid w:val="008254FB"/>
    <w:rPr>
      <w:rFonts w:cs="Times New Roman"/>
    </w:rPr>
  </w:style>
  <w:style w:type="character" w:customStyle="1" w:styleId="apple-converted-space">
    <w:name w:val="apple-converted-space"/>
    <w:basedOn w:val="DefaultParagraphFont"/>
    <w:uiPriority w:val="99"/>
    <w:rsid w:val="007A4C6C"/>
    <w:rPr>
      <w:rFonts w:cs="Times New Roman"/>
    </w:rPr>
  </w:style>
  <w:style w:type="paragraph" w:styleId="Title">
    <w:name w:val="Title"/>
    <w:basedOn w:val="Normal"/>
    <w:next w:val="Normal"/>
    <w:link w:val="TitleChar"/>
    <w:uiPriority w:val="99"/>
    <w:qFormat/>
    <w:rsid w:val="00393E1C"/>
    <w:pPr>
      <w:pBdr>
        <w:bottom w:val="single" w:sz="8" w:space="4" w:color="4F81BD"/>
      </w:pBdr>
      <w:spacing w:before="0"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393E1C"/>
    <w:rPr>
      <w:rFonts w:ascii="Cambria" w:hAnsi="Cambria" w:cs="Times New Roman"/>
      <w:color w:val="17365D"/>
      <w:spacing w:val="5"/>
      <w:kern w:val="28"/>
      <w:sz w:val="52"/>
      <w:szCs w:val="52"/>
      <w:lang w:val="en-US"/>
    </w:rPr>
  </w:style>
  <w:style w:type="character" w:styleId="LineNumber">
    <w:name w:val="line number"/>
    <w:basedOn w:val="DefaultParagraphFont"/>
    <w:uiPriority w:val="99"/>
    <w:semiHidden/>
    <w:locked/>
    <w:rsid w:val="00934F16"/>
    <w:rPr>
      <w:rFonts w:cs="Times New Roman"/>
    </w:rPr>
  </w:style>
</w:styles>
</file>

<file path=word/webSettings.xml><?xml version="1.0" encoding="utf-8"?>
<w:webSettings xmlns:r="http://schemas.openxmlformats.org/officeDocument/2006/relationships" xmlns:w="http://schemas.openxmlformats.org/wordprocessingml/2006/main">
  <w:divs>
    <w:div w:id="390270952">
      <w:marLeft w:val="0"/>
      <w:marRight w:val="0"/>
      <w:marTop w:val="0"/>
      <w:marBottom w:val="0"/>
      <w:divBdr>
        <w:top w:val="none" w:sz="0" w:space="0" w:color="auto"/>
        <w:left w:val="none" w:sz="0" w:space="0" w:color="auto"/>
        <w:bottom w:val="none" w:sz="0" w:space="0" w:color="auto"/>
        <w:right w:val="none" w:sz="0" w:space="0" w:color="auto"/>
      </w:divBdr>
      <w:divsChild>
        <w:div w:id="390271066">
          <w:marLeft w:val="547"/>
          <w:marRight w:val="0"/>
          <w:marTop w:val="0"/>
          <w:marBottom w:val="0"/>
          <w:divBdr>
            <w:top w:val="none" w:sz="0" w:space="0" w:color="auto"/>
            <w:left w:val="none" w:sz="0" w:space="0" w:color="auto"/>
            <w:bottom w:val="none" w:sz="0" w:space="0" w:color="auto"/>
            <w:right w:val="none" w:sz="0" w:space="0" w:color="auto"/>
          </w:divBdr>
        </w:div>
      </w:divsChild>
    </w:div>
    <w:div w:id="390270956">
      <w:marLeft w:val="0"/>
      <w:marRight w:val="0"/>
      <w:marTop w:val="0"/>
      <w:marBottom w:val="0"/>
      <w:divBdr>
        <w:top w:val="none" w:sz="0" w:space="0" w:color="auto"/>
        <w:left w:val="none" w:sz="0" w:space="0" w:color="auto"/>
        <w:bottom w:val="none" w:sz="0" w:space="0" w:color="auto"/>
        <w:right w:val="none" w:sz="0" w:space="0" w:color="auto"/>
      </w:divBdr>
      <w:divsChild>
        <w:div w:id="390270955">
          <w:marLeft w:val="806"/>
          <w:marRight w:val="0"/>
          <w:marTop w:val="154"/>
          <w:marBottom w:val="0"/>
          <w:divBdr>
            <w:top w:val="none" w:sz="0" w:space="0" w:color="auto"/>
            <w:left w:val="none" w:sz="0" w:space="0" w:color="auto"/>
            <w:bottom w:val="none" w:sz="0" w:space="0" w:color="auto"/>
            <w:right w:val="none" w:sz="0" w:space="0" w:color="auto"/>
          </w:divBdr>
        </w:div>
        <w:div w:id="390271057">
          <w:marLeft w:val="806"/>
          <w:marRight w:val="0"/>
          <w:marTop w:val="154"/>
          <w:marBottom w:val="0"/>
          <w:divBdr>
            <w:top w:val="none" w:sz="0" w:space="0" w:color="auto"/>
            <w:left w:val="none" w:sz="0" w:space="0" w:color="auto"/>
            <w:bottom w:val="none" w:sz="0" w:space="0" w:color="auto"/>
            <w:right w:val="none" w:sz="0" w:space="0" w:color="auto"/>
          </w:divBdr>
        </w:div>
      </w:divsChild>
    </w:div>
    <w:div w:id="390270961">
      <w:marLeft w:val="0"/>
      <w:marRight w:val="0"/>
      <w:marTop w:val="0"/>
      <w:marBottom w:val="0"/>
      <w:divBdr>
        <w:top w:val="none" w:sz="0" w:space="0" w:color="auto"/>
        <w:left w:val="none" w:sz="0" w:space="0" w:color="auto"/>
        <w:bottom w:val="none" w:sz="0" w:space="0" w:color="auto"/>
        <w:right w:val="none" w:sz="0" w:space="0" w:color="auto"/>
      </w:divBdr>
    </w:div>
    <w:div w:id="390270962">
      <w:marLeft w:val="0"/>
      <w:marRight w:val="0"/>
      <w:marTop w:val="0"/>
      <w:marBottom w:val="0"/>
      <w:divBdr>
        <w:top w:val="none" w:sz="0" w:space="0" w:color="auto"/>
        <w:left w:val="none" w:sz="0" w:space="0" w:color="auto"/>
        <w:bottom w:val="none" w:sz="0" w:space="0" w:color="auto"/>
        <w:right w:val="none" w:sz="0" w:space="0" w:color="auto"/>
      </w:divBdr>
    </w:div>
    <w:div w:id="390270963">
      <w:marLeft w:val="0"/>
      <w:marRight w:val="0"/>
      <w:marTop w:val="0"/>
      <w:marBottom w:val="0"/>
      <w:divBdr>
        <w:top w:val="none" w:sz="0" w:space="0" w:color="auto"/>
        <w:left w:val="none" w:sz="0" w:space="0" w:color="auto"/>
        <w:bottom w:val="none" w:sz="0" w:space="0" w:color="auto"/>
        <w:right w:val="none" w:sz="0" w:space="0" w:color="auto"/>
      </w:divBdr>
    </w:div>
    <w:div w:id="390270964">
      <w:marLeft w:val="0"/>
      <w:marRight w:val="0"/>
      <w:marTop w:val="0"/>
      <w:marBottom w:val="0"/>
      <w:divBdr>
        <w:top w:val="none" w:sz="0" w:space="0" w:color="auto"/>
        <w:left w:val="none" w:sz="0" w:space="0" w:color="auto"/>
        <w:bottom w:val="none" w:sz="0" w:space="0" w:color="auto"/>
        <w:right w:val="none" w:sz="0" w:space="0" w:color="auto"/>
      </w:divBdr>
    </w:div>
    <w:div w:id="390270965">
      <w:marLeft w:val="0"/>
      <w:marRight w:val="0"/>
      <w:marTop w:val="0"/>
      <w:marBottom w:val="0"/>
      <w:divBdr>
        <w:top w:val="none" w:sz="0" w:space="0" w:color="auto"/>
        <w:left w:val="none" w:sz="0" w:space="0" w:color="auto"/>
        <w:bottom w:val="none" w:sz="0" w:space="0" w:color="auto"/>
        <w:right w:val="none" w:sz="0" w:space="0" w:color="auto"/>
      </w:divBdr>
      <w:divsChild>
        <w:div w:id="390270957">
          <w:marLeft w:val="360"/>
          <w:marRight w:val="0"/>
          <w:marTop w:val="0"/>
          <w:marBottom w:val="0"/>
          <w:divBdr>
            <w:top w:val="none" w:sz="0" w:space="0" w:color="auto"/>
            <w:left w:val="none" w:sz="0" w:space="0" w:color="auto"/>
            <w:bottom w:val="none" w:sz="0" w:space="0" w:color="auto"/>
            <w:right w:val="none" w:sz="0" w:space="0" w:color="auto"/>
          </w:divBdr>
        </w:div>
        <w:div w:id="390270958">
          <w:marLeft w:val="994"/>
          <w:marRight w:val="0"/>
          <w:marTop w:val="0"/>
          <w:marBottom w:val="0"/>
          <w:divBdr>
            <w:top w:val="none" w:sz="0" w:space="0" w:color="auto"/>
            <w:left w:val="none" w:sz="0" w:space="0" w:color="auto"/>
            <w:bottom w:val="none" w:sz="0" w:space="0" w:color="auto"/>
            <w:right w:val="none" w:sz="0" w:space="0" w:color="auto"/>
          </w:divBdr>
        </w:div>
        <w:div w:id="390270960">
          <w:marLeft w:val="360"/>
          <w:marRight w:val="0"/>
          <w:marTop w:val="0"/>
          <w:marBottom w:val="0"/>
          <w:divBdr>
            <w:top w:val="none" w:sz="0" w:space="0" w:color="auto"/>
            <w:left w:val="none" w:sz="0" w:space="0" w:color="auto"/>
            <w:bottom w:val="none" w:sz="0" w:space="0" w:color="auto"/>
            <w:right w:val="none" w:sz="0" w:space="0" w:color="auto"/>
          </w:divBdr>
        </w:div>
        <w:div w:id="390271043">
          <w:marLeft w:val="994"/>
          <w:marRight w:val="0"/>
          <w:marTop w:val="0"/>
          <w:marBottom w:val="0"/>
          <w:divBdr>
            <w:top w:val="none" w:sz="0" w:space="0" w:color="auto"/>
            <w:left w:val="none" w:sz="0" w:space="0" w:color="auto"/>
            <w:bottom w:val="none" w:sz="0" w:space="0" w:color="auto"/>
            <w:right w:val="none" w:sz="0" w:space="0" w:color="auto"/>
          </w:divBdr>
        </w:div>
        <w:div w:id="390271049">
          <w:marLeft w:val="360"/>
          <w:marRight w:val="0"/>
          <w:marTop w:val="0"/>
          <w:marBottom w:val="0"/>
          <w:divBdr>
            <w:top w:val="none" w:sz="0" w:space="0" w:color="auto"/>
            <w:left w:val="none" w:sz="0" w:space="0" w:color="auto"/>
            <w:bottom w:val="none" w:sz="0" w:space="0" w:color="auto"/>
            <w:right w:val="none" w:sz="0" w:space="0" w:color="auto"/>
          </w:divBdr>
        </w:div>
        <w:div w:id="390271051">
          <w:marLeft w:val="360"/>
          <w:marRight w:val="0"/>
          <w:marTop w:val="0"/>
          <w:marBottom w:val="0"/>
          <w:divBdr>
            <w:top w:val="none" w:sz="0" w:space="0" w:color="auto"/>
            <w:left w:val="none" w:sz="0" w:space="0" w:color="auto"/>
            <w:bottom w:val="none" w:sz="0" w:space="0" w:color="auto"/>
            <w:right w:val="none" w:sz="0" w:space="0" w:color="auto"/>
          </w:divBdr>
        </w:div>
      </w:divsChild>
    </w:div>
    <w:div w:id="390270966">
      <w:marLeft w:val="0"/>
      <w:marRight w:val="0"/>
      <w:marTop w:val="0"/>
      <w:marBottom w:val="0"/>
      <w:divBdr>
        <w:top w:val="none" w:sz="0" w:space="0" w:color="auto"/>
        <w:left w:val="none" w:sz="0" w:space="0" w:color="auto"/>
        <w:bottom w:val="none" w:sz="0" w:space="0" w:color="auto"/>
        <w:right w:val="none" w:sz="0" w:space="0" w:color="auto"/>
      </w:divBdr>
      <w:divsChild>
        <w:div w:id="390271059">
          <w:marLeft w:val="720"/>
          <w:marRight w:val="0"/>
          <w:marTop w:val="0"/>
          <w:marBottom w:val="0"/>
          <w:divBdr>
            <w:top w:val="none" w:sz="0" w:space="0" w:color="auto"/>
            <w:left w:val="none" w:sz="0" w:space="0" w:color="auto"/>
            <w:bottom w:val="none" w:sz="0" w:space="0" w:color="auto"/>
            <w:right w:val="none" w:sz="0" w:space="0" w:color="auto"/>
          </w:divBdr>
        </w:div>
      </w:divsChild>
    </w:div>
    <w:div w:id="390270967">
      <w:marLeft w:val="0"/>
      <w:marRight w:val="0"/>
      <w:marTop w:val="0"/>
      <w:marBottom w:val="0"/>
      <w:divBdr>
        <w:top w:val="none" w:sz="0" w:space="0" w:color="auto"/>
        <w:left w:val="none" w:sz="0" w:space="0" w:color="auto"/>
        <w:bottom w:val="none" w:sz="0" w:space="0" w:color="auto"/>
        <w:right w:val="none" w:sz="0" w:space="0" w:color="auto"/>
      </w:divBdr>
    </w:div>
    <w:div w:id="390270969">
      <w:marLeft w:val="0"/>
      <w:marRight w:val="0"/>
      <w:marTop w:val="0"/>
      <w:marBottom w:val="0"/>
      <w:divBdr>
        <w:top w:val="none" w:sz="0" w:space="0" w:color="auto"/>
        <w:left w:val="none" w:sz="0" w:space="0" w:color="auto"/>
        <w:bottom w:val="none" w:sz="0" w:space="0" w:color="auto"/>
        <w:right w:val="none" w:sz="0" w:space="0" w:color="auto"/>
      </w:divBdr>
    </w:div>
    <w:div w:id="390270970">
      <w:marLeft w:val="0"/>
      <w:marRight w:val="0"/>
      <w:marTop w:val="0"/>
      <w:marBottom w:val="0"/>
      <w:divBdr>
        <w:top w:val="none" w:sz="0" w:space="0" w:color="auto"/>
        <w:left w:val="none" w:sz="0" w:space="0" w:color="auto"/>
        <w:bottom w:val="none" w:sz="0" w:space="0" w:color="auto"/>
        <w:right w:val="none" w:sz="0" w:space="0" w:color="auto"/>
      </w:divBdr>
    </w:div>
    <w:div w:id="390270971">
      <w:marLeft w:val="0"/>
      <w:marRight w:val="0"/>
      <w:marTop w:val="0"/>
      <w:marBottom w:val="0"/>
      <w:divBdr>
        <w:top w:val="none" w:sz="0" w:space="0" w:color="auto"/>
        <w:left w:val="none" w:sz="0" w:space="0" w:color="auto"/>
        <w:bottom w:val="none" w:sz="0" w:space="0" w:color="auto"/>
        <w:right w:val="none" w:sz="0" w:space="0" w:color="auto"/>
      </w:divBdr>
    </w:div>
    <w:div w:id="390270972">
      <w:marLeft w:val="0"/>
      <w:marRight w:val="0"/>
      <w:marTop w:val="0"/>
      <w:marBottom w:val="0"/>
      <w:divBdr>
        <w:top w:val="none" w:sz="0" w:space="0" w:color="auto"/>
        <w:left w:val="none" w:sz="0" w:space="0" w:color="auto"/>
        <w:bottom w:val="none" w:sz="0" w:space="0" w:color="auto"/>
        <w:right w:val="none" w:sz="0" w:space="0" w:color="auto"/>
      </w:divBdr>
    </w:div>
    <w:div w:id="390270973">
      <w:marLeft w:val="0"/>
      <w:marRight w:val="0"/>
      <w:marTop w:val="0"/>
      <w:marBottom w:val="0"/>
      <w:divBdr>
        <w:top w:val="none" w:sz="0" w:space="0" w:color="auto"/>
        <w:left w:val="none" w:sz="0" w:space="0" w:color="auto"/>
        <w:bottom w:val="none" w:sz="0" w:space="0" w:color="auto"/>
        <w:right w:val="none" w:sz="0" w:space="0" w:color="auto"/>
      </w:divBdr>
    </w:div>
    <w:div w:id="390270974">
      <w:marLeft w:val="0"/>
      <w:marRight w:val="0"/>
      <w:marTop w:val="0"/>
      <w:marBottom w:val="0"/>
      <w:divBdr>
        <w:top w:val="none" w:sz="0" w:space="0" w:color="auto"/>
        <w:left w:val="none" w:sz="0" w:space="0" w:color="auto"/>
        <w:bottom w:val="none" w:sz="0" w:space="0" w:color="auto"/>
        <w:right w:val="none" w:sz="0" w:space="0" w:color="auto"/>
      </w:divBdr>
    </w:div>
    <w:div w:id="390270975">
      <w:marLeft w:val="0"/>
      <w:marRight w:val="0"/>
      <w:marTop w:val="0"/>
      <w:marBottom w:val="0"/>
      <w:divBdr>
        <w:top w:val="none" w:sz="0" w:space="0" w:color="auto"/>
        <w:left w:val="none" w:sz="0" w:space="0" w:color="auto"/>
        <w:bottom w:val="none" w:sz="0" w:space="0" w:color="auto"/>
        <w:right w:val="none" w:sz="0" w:space="0" w:color="auto"/>
      </w:divBdr>
    </w:div>
    <w:div w:id="390270976">
      <w:marLeft w:val="0"/>
      <w:marRight w:val="0"/>
      <w:marTop w:val="0"/>
      <w:marBottom w:val="0"/>
      <w:divBdr>
        <w:top w:val="none" w:sz="0" w:space="0" w:color="auto"/>
        <w:left w:val="none" w:sz="0" w:space="0" w:color="auto"/>
        <w:bottom w:val="none" w:sz="0" w:space="0" w:color="auto"/>
        <w:right w:val="none" w:sz="0" w:space="0" w:color="auto"/>
      </w:divBdr>
    </w:div>
    <w:div w:id="390270977">
      <w:marLeft w:val="0"/>
      <w:marRight w:val="0"/>
      <w:marTop w:val="0"/>
      <w:marBottom w:val="0"/>
      <w:divBdr>
        <w:top w:val="none" w:sz="0" w:space="0" w:color="auto"/>
        <w:left w:val="none" w:sz="0" w:space="0" w:color="auto"/>
        <w:bottom w:val="none" w:sz="0" w:space="0" w:color="auto"/>
        <w:right w:val="none" w:sz="0" w:space="0" w:color="auto"/>
      </w:divBdr>
    </w:div>
    <w:div w:id="390270978">
      <w:marLeft w:val="0"/>
      <w:marRight w:val="0"/>
      <w:marTop w:val="0"/>
      <w:marBottom w:val="0"/>
      <w:divBdr>
        <w:top w:val="none" w:sz="0" w:space="0" w:color="auto"/>
        <w:left w:val="none" w:sz="0" w:space="0" w:color="auto"/>
        <w:bottom w:val="none" w:sz="0" w:space="0" w:color="auto"/>
        <w:right w:val="none" w:sz="0" w:space="0" w:color="auto"/>
      </w:divBdr>
    </w:div>
    <w:div w:id="390270979">
      <w:marLeft w:val="0"/>
      <w:marRight w:val="0"/>
      <w:marTop w:val="0"/>
      <w:marBottom w:val="0"/>
      <w:divBdr>
        <w:top w:val="none" w:sz="0" w:space="0" w:color="auto"/>
        <w:left w:val="none" w:sz="0" w:space="0" w:color="auto"/>
        <w:bottom w:val="none" w:sz="0" w:space="0" w:color="auto"/>
        <w:right w:val="none" w:sz="0" w:space="0" w:color="auto"/>
      </w:divBdr>
    </w:div>
    <w:div w:id="390270980">
      <w:marLeft w:val="0"/>
      <w:marRight w:val="0"/>
      <w:marTop w:val="0"/>
      <w:marBottom w:val="0"/>
      <w:divBdr>
        <w:top w:val="none" w:sz="0" w:space="0" w:color="auto"/>
        <w:left w:val="none" w:sz="0" w:space="0" w:color="auto"/>
        <w:bottom w:val="none" w:sz="0" w:space="0" w:color="auto"/>
        <w:right w:val="none" w:sz="0" w:space="0" w:color="auto"/>
      </w:divBdr>
    </w:div>
    <w:div w:id="390270981">
      <w:marLeft w:val="0"/>
      <w:marRight w:val="0"/>
      <w:marTop w:val="0"/>
      <w:marBottom w:val="0"/>
      <w:divBdr>
        <w:top w:val="none" w:sz="0" w:space="0" w:color="auto"/>
        <w:left w:val="none" w:sz="0" w:space="0" w:color="auto"/>
        <w:bottom w:val="none" w:sz="0" w:space="0" w:color="auto"/>
        <w:right w:val="none" w:sz="0" w:space="0" w:color="auto"/>
      </w:divBdr>
    </w:div>
    <w:div w:id="390270982">
      <w:marLeft w:val="0"/>
      <w:marRight w:val="0"/>
      <w:marTop w:val="0"/>
      <w:marBottom w:val="0"/>
      <w:divBdr>
        <w:top w:val="none" w:sz="0" w:space="0" w:color="auto"/>
        <w:left w:val="none" w:sz="0" w:space="0" w:color="auto"/>
        <w:bottom w:val="none" w:sz="0" w:space="0" w:color="auto"/>
        <w:right w:val="none" w:sz="0" w:space="0" w:color="auto"/>
      </w:divBdr>
    </w:div>
    <w:div w:id="390270983">
      <w:marLeft w:val="0"/>
      <w:marRight w:val="0"/>
      <w:marTop w:val="0"/>
      <w:marBottom w:val="0"/>
      <w:divBdr>
        <w:top w:val="none" w:sz="0" w:space="0" w:color="auto"/>
        <w:left w:val="none" w:sz="0" w:space="0" w:color="auto"/>
        <w:bottom w:val="none" w:sz="0" w:space="0" w:color="auto"/>
        <w:right w:val="none" w:sz="0" w:space="0" w:color="auto"/>
      </w:divBdr>
    </w:div>
    <w:div w:id="390270984">
      <w:marLeft w:val="0"/>
      <w:marRight w:val="0"/>
      <w:marTop w:val="0"/>
      <w:marBottom w:val="0"/>
      <w:divBdr>
        <w:top w:val="none" w:sz="0" w:space="0" w:color="auto"/>
        <w:left w:val="none" w:sz="0" w:space="0" w:color="auto"/>
        <w:bottom w:val="none" w:sz="0" w:space="0" w:color="auto"/>
        <w:right w:val="none" w:sz="0" w:space="0" w:color="auto"/>
      </w:divBdr>
    </w:div>
    <w:div w:id="390270985">
      <w:marLeft w:val="0"/>
      <w:marRight w:val="0"/>
      <w:marTop w:val="0"/>
      <w:marBottom w:val="0"/>
      <w:divBdr>
        <w:top w:val="none" w:sz="0" w:space="0" w:color="auto"/>
        <w:left w:val="none" w:sz="0" w:space="0" w:color="auto"/>
        <w:bottom w:val="none" w:sz="0" w:space="0" w:color="auto"/>
        <w:right w:val="none" w:sz="0" w:space="0" w:color="auto"/>
      </w:divBdr>
    </w:div>
    <w:div w:id="390270986">
      <w:marLeft w:val="0"/>
      <w:marRight w:val="0"/>
      <w:marTop w:val="0"/>
      <w:marBottom w:val="0"/>
      <w:divBdr>
        <w:top w:val="none" w:sz="0" w:space="0" w:color="auto"/>
        <w:left w:val="none" w:sz="0" w:space="0" w:color="auto"/>
        <w:bottom w:val="none" w:sz="0" w:space="0" w:color="auto"/>
        <w:right w:val="none" w:sz="0" w:space="0" w:color="auto"/>
      </w:divBdr>
    </w:div>
    <w:div w:id="390270987">
      <w:marLeft w:val="0"/>
      <w:marRight w:val="0"/>
      <w:marTop w:val="0"/>
      <w:marBottom w:val="0"/>
      <w:divBdr>
        <w:top w:val="none" w:sz="0" w:space="0" w:color="auto"/>
        <w:left w:val="none" w:sz="0" w:space="0" w:color="auto"/>
        <w:bottom w:val="none" w:sz="0" w:space="0" w:color="auto"/>
        <w:right w:val="none" w:sz="0" w:space="0" w:color="auto"/>
      </w:divBdr>
    </w:div>
    <w:div w:id="390270988">
      <w:marLeft w:val="0"/>
      <w:marRight w:val="0"/>
      <w:marTop w:val="0"/>
      <w:marBottom w:val="0"/>
      <w:divBdr>
        <w:top w:val="none" w:sz="0" w:space="0" w:color="auto"/>
        <w:left w:val="none" w:sz="0" w:space="0" w:color="auto"/>
        <w:bottom w:val="none" w:sz="0" w:space="0" w:color="auto"/>
        <w:right w:val="none" w:sz="0" w:space="0" w:color="auto"/>
      </w:divBdr>
    </w:div>
    <w:div w:id="390270989">
      <w:marLeft w:val="0"/>
      <w:marRight w:val="0"/>
      <w:marTop w:val="0"/>
      <w:marBottom w:val="0"/>
      <w:divBdr>
        <w:top w:val="none" w:sz="0" w:space="0" w:color="auto"/>
        <w:left w:val="none" w:sz="0" w:space="0" w:color="auto"/>
        <w:bottom w:val="none" w:sz="0" w:space="0" w:color="auto"/>
        <w:right w:val="none" w:sz="0" w:space="0" w:color="auto"/>
      </w:divBdr>
    </w:div>
    <w:div w:id="390270990">
      <w:marLeft w:val="0"/>
      <w:marRight w:val="0"/>
      <w:marTop w:val="0"/>
      <w:marBottom w:val="0"/>
      <w:divBdr>
        <w:top w:val="none" w:sz="0" w:space="0" w:color="auto"/>
        <w:left w:val="none" w:sz="0" w:space="0" w:color="auto"/>
        <w:bottom w:val="none" w:sz="0" w:space="0" w:color="auto"/>
        <w:right w:val="none" w:sz="0" w:space="0" w:color="auto"/>
      </w:divBdr>
    </w:div>
    <w:div w:id="390270991">
      <w:marLeft w:val="0"/>
      <w:marRight w:val="0"/>
      <w:marTop w:val="0"/>
      <w:marBottom w:val="0"/>
      <w:divBdr>
        <w:top w:val="none" w:sz="0" w:space="0" w:color="auto"/>
        <w:left w:val="none" w:sz="0" w:space="0" w:color="auto"/>
        <w:bottom w:val="none" w:sz="0" w:space="0" w:color="auto"/>
        <w:right w:val="none" w:sz="0" w:space="0" w:color="auto"/>
      </w:divBdr>
    </w:div>
    <w:div w:id="390270992">
      <w:marLeft w:val="0"/>
      <w:marRight w:val="0"/>
      <w:marTop w:val="0"/>
      <w:marBottom w:val="0"/>
      <w:divBdr>
        <w:top w:val="none" w:sz="0" w:space="0" w:color="auto"/>
        <w:left w:val="none" w:sz="0" w:space="0" w:color="auto"/>
        <w:bottom w:val="none" w:sz="0" w:space="0" w:color="auto"/>
        <w:right w:val="none" w:sz="0" w:space="0" w:color="auto"/>
      </w:divBdr>
    </w:div>
    <w:div w:id="390270993">
      <w:marLeft w:val="0"/>
      <w:marRight w:val="0"/>
      <w:marTop w:val="0"/>
      <w:marBottom w:val="0"/>
      <w:divBdr>
        <w:top w:val="none" w:sz="0" w:space="0" w:color="auto"/>
        <w:left w:val="none" w:sz="0" w:space="0" w:color="auto"/>
        <w:bottom w:val="none" w:sz="0" w:space="0" w:color="auto"/>
        <w:right w:val="none" w:sz="0" w:space="0" w:color="auto"/>
      </w:divBdr>
    </w:div>
    <w:div w:id="390270994">
      <w:marLeft w:val="0"/>
      <w:marRight w:val="0"/>
      <w:marTop w:val="0"/>
      <w:marBottom w:val="0"/>
      <w:divBdr>
        <w:top w:val="none" w:sz="0" w:space="0" w:color="auto"/>
        <w:left w:val="none" w:sz="0" w:space="0" w:color="auto"/>
        <w:bottom w:val="none" w:sz="0" w:space="0" w:color="auto"/>
        <w:right w:val="none" w:sz="0" w:space="0" w:color="auto"/>
      </w:divBdr>
    </w:div>
    <w:div w:id="390270995">
      <w:marLeft w:val="0"/>
      <w:marRight w:val="0"/>
      <w:marTop w:val="0"/>
      <w:marBottom w:val="0"/>
      <w:divBdr>
        <w:top w:val="none" w:sz="0" w:space="0" w:color="auto"/>
        <w:left w:val="none" w:sz="0" w:space="0" w:color="auto"/>
        <w:bottom w:val="none" w:sz="0" w:space="0" w:color="auto"/>
        <w:right w:val="none" w:sz="0" w:space="0" w:color="auto"/>
      </w:divBdr>
    </w:div>
    <w:div w:id="390270996">
      <w:marLeft w:val="0"/>
      <w:marRight w:val="0"/>
      <w:marTop w:val="0"/>
      <w:marBottom w:val="0"/>
      <w:divBdr>
        <w:top w:val="none" w:sz="0" w:space="0" w:color="auto"/>
        <w:left w:val="none" w:sz="0" w:space="0" w:color="auto"/>
        <w:bottom w:val="none" w:sz="0" w:space="0" w:color="auto"/>
        <w:right w:val="none" w:sz="0" w:space="0" w:color="auto"/>
      </w:divBdr>
    </w:div>
    <w:div w:id="390270997">
      <w:marLeft w:val="0"/>
      <w:marRight w:val="0"/>
      <w:marTop w:val="0"/>
      <w:marBottom w:val="0"/>
      <w:divBdr>
        <w:top w:val="none" w:sz="0" w:space="0" w:color="auto"/>
        <w:left w:val="none" w:sz="0" w:space="0" w:color="auto"/>
        <w:bottom w:val="none" w:sz="0" w:space="0" w:color="auto"/>
        <w:right w:val="none" w:sz="0" w:space="0" w:color="auto"/>
      </w:divBdr>
    </w:div>
    <w:div w:id="390270998">
      <w:marLeft w:val="0"/>
      <w:marRight w:val="0"/>
      <w:marTop w:val="0"/>
      <w:marBottom w:val="0"/>
      <w:divBdr>
        <w:top w:val="none" w:sz="0" w:space="0" w:color="auto"/>
        <w:left w:val="none" w:sz="0" w:space="0" w:color="auto"/>
        <w:bottom w:val="none" w:sz="0" w:space="0" w:color="auto"/>
        <w:right w:val="none" w:sz="0" w:space="0" w:color="auto"/>
      </w:divBdr>
    </w:div>
    <w:div w:id="390270999">
      <w:marLeft w:val="0"/>
      <w:marRight w:val="0"/>
      <w:marTop w:val="0"/>
      <w:marBottom w:val="0"/>
      <w:divBdr>
        <w:top w:val="none" w:sz="0" w:space="0" w:color="auto"/>
        <w:left w:val="none" w:sz="0" w:space="0" w:color="auto"/>
        <w:bottom w:val="none" w:sz="0" w:space="0" w:color="auto"/>
        <w:right w:val="none" w:sz="0" w:space="0" w:color="auto"/>
      </w:divBdr>
    </w:div>
    <w:div w:id="390271001">
      <w:marLeft w:val="0"/>
      <w:marRight w:val="0"/>
      <w:marTop w:val="0"/>
      <w:marBottom w:val="0"/>
      <w:divBdr>
        <w:top w:val="none" w:sz="0" w:space="0" w:color="auto"/>
        <w:left w:val="none" w:sz="0" w:space="0" w:color="auto"/>
        <w:bottom w:val="none" w:sz="0" w:space="0" w:color="auto"/>
        <w:right w:val="none" w:sz="0" w:space="0" w:color="auto"/>
      </w:divBdr>
      <w:divsChild>
        <w:div w:id="390271011">
          <w:marLeft w:val="1166"/>
          <w:marRight w:val="0"/>
          <w:marTop w:val="86"/>
          <w:marBottom w:val="0"/>
          <w:divBdr>
            <w:top w:val="none" w:sz="0" w:space="0" w:color="auto"/>
            <w:left w:val="none" w:sz="0" w:space="0" w:color="auto"/>
            <w:bottom w:val="none" w:sz="0" w:space="0" w:color="auto"/>
            <w:right w:val="none" w:sz="0" w:space="0" w:color="auto"/>
          </w:divBdr>
        </w:div>
      </w:divsChild>
    </w:div>
    <w:div w:id="390271002">
      <w:marLeft w:val="0"/>
      <w:marRight w:val="0"/>
      <w:marTop w:val="0"/>
      <w:marBottom w:val="0"/>
      <w:divBdr>
        <w:top w:val="none" w:sz="0" w:space="0" w:color="auto"/>
        <w:left w:val="none" w:sz="0" w:space="0" w:color="auto"/>
        <w:bottom w:val="none" w:sz="0" w:space="0" w:color="auto"/>
        <w:right w:val="none" w:sz="0" w:space="0" w:color="auto"/>
      </w:divBdr>
    </w:div>
    <w:div w:id="390271003">
      <w:marLeft w:val="0"/>
      <w:marRight w:val="0"/>
      <w:marTop w:val="0"/>
      <w:marBottom w:val="0"/>
      <w:divBdr>
        <w:top w:val="none" w:sz="0" w:space="0" w:color="auto"/>
        <w:left w:val="none" w:sz="0" w:space="0" w:color="auto"/>
        <w:bottom w:val="none" w:sz="0" w:space="0" w:color="auto"/>
        <w:right w:val="none" w:sz="0" w:space="0" w:color="auto"/>
      </w:divBdr>
    </w:div>
    <w:div w:id="390271004">
      <w:marLeft w:val="0"/>
      <w:marRight w:val="0"/>
      <w:marTop w:val="0"/>
      <w:marBottom w:val="0"/>
      <w:divBdr>
        <w:top w:val="none" w:sz="0" w:space="0" w:color="auto"/>
        <w:left w:val="none" w:sz="0" w:space="0" w:color="auto"/>
        <w:bottom w:val="none" w:sz="0" w:space="0" w:color="auto"/>
        <w:right w:val="none" w:sz="0" w:space="0" w:color="auto"/>
      </w:divBdr>
      <w:divsChild>
        <w:div w:id="390271008">
          <w:marLeft w:val="360"/>
          <w:marRight w:val="0"/>
          <w:marTop w:val="0"/>
          <w:marBottom w:val="0"/>
          <w:divBdr>
            <w:top w:val="none" w:sz="0" w:space="0" w:color="auto"/>
            <w:left w:val="none" w:sz="0" w:space="0" w:color="auto"/>
            <w:bottom w:val="none" w:sz="0" w:space="0" w:color="auto"/>
            <w:right w:val="none" w:sz="0" w:space="0" w:color="auto"/>
          </w:divBdr>
        </w:div>
        <w:div w:id="390271013">
          <w:marLeft w:val="360"/>
          <w:marRight w:val="0"/>
          <w:marTop w:val="0"/>
          <w:marBottom w:val="0"/>
          <w:divBdr>
            <w:top w:val="none" w:sz="0" w:space="0" w:color="auto"/>
            <w:left w:val="none" w:sz="0" w:space="0" w:color="auto"/>
            <w:bottom w:val="none" w:sz="0" w:space="0" w:color="auto"/>
            <w:right w:val="none" w:sz="0" w:space="0" w:color="auto"/>
          </w:divBdr>
        </w:div>
        <w:div w:id="390271020">
          <w:marLeft w:val="360"/>
          <w:marRight w:val="0"/>
          <w:marTop w:val="0"/>
          <w:marBottom w:val="0"/>
          <w:divBdr>
            <w:top w:val="none" w:sz="0" w:space="0" w:color="auto"/>
            <w:left w:val="none" w:sz="0" w:space="0" w:color="auto"/>
            <w:bottom w:val="none" w:sz="0" w:space="0" w:color="auto"/>
            <w:right w:val="none" w:sz="0" w:space="0" w:color="auto"/>
          </w:divBdr>
        </w:div>
        <w:div w:id="390271031">
          <w:marLeft w:val="360"/>
          <w:marRight w:val="0"/>
          <w:marTop w:val="0"/>
          <w:marBottom w:val="0"/>
          <w:divBdr>
            <w:top w:val="none" w:sz="0" w:space="0" w:color="auto"/>
            <w:left w:val="none" w:sz="0" w:space="0" w:color="auto"/>
            <w:bottom w:val="none" w:sz="0" w:space="0" w:color="auto"/>
            <w:right w:val="none" w:sz="0" w:space="0" w:color="auto"/>
          </w:divBdr>
        </w:div>
      </w:divsChild>
    </w:div>
    <w:div w:id="390271005">
      <w:marLeft w:val="0"/>
      <w:marRight w:val="0"/>
      <w:marTop w:val="0"/>
      <w:marBottom w:val="0"/>
      <w:divBdr>
        <w:top w:val="none" w:sz="0" w:space="0" w:color="auto"/>
        <w:left w:val="none" w:sz="0" w:space="0" w:color="auto"/>
        <w:bottom w:val="none" w:sz="0" w:space="0" w:color="auto"/>
        <w:right w:val="none" w:sz="0" w:space="0" w:color="auto"/>
      </w:divBdr>
    </w:div>
    <w:div w:id="390271012">
      <w:marLeft w:val="0"/>
      <w:marRight w:val="0"/>
      <w:marTop w:val="0"/>
      <w:marBottom w:val="0"/>
      <w:divBdr>
        <w:top w:val="none" w:sz="0" w:space="0" w:color="auto"/>
        <w:left w:val="none" w:sz="0" w:space="0" w:color="auto"/>
        <w:bottom w:val="none" w:sz="0" w:space="0" w:color="auto"/>
        <w:right w:val="none" w:sz="0" w:space="0" w:color="auto"/>
      </w:divBdr>
      <w:divsChild>
        <w:div w:id="390271009">
          <w:marLeft w:val="1166"/>
          <w:marRight w:val="0"/>
          <w:marTop w:val="96"/>
          <w:marBottom w:val="0"/>
          <w:divBdr>
            <w:top w:val="none" w:sz="0" w:space="0" w:color="auto"/>
            <w:left w:val="none" w:sz="0" w:space="0" w:color="auto"/>
            <w:bottom w:val="none" w:sz="0" w:space="0" w:color="auto"/>
            <w:right w:val="none" w:sz="0" w:space="0" w:color="auto"/>
          </w:divBdr>
        </w:div>
        <w:div w:id="390271010">
          <w:marLeft w:val="547"/>
          <w:marRight w:val="0"/>
          <w:marTop w:val="96"/>
          <w:marBottom w:val="0"/>
          <w:divBdr>
            <w:top w:val="none" w:sz="0" w:space="0" w:color="auto"/>
            <w:left w:val="none" w:sz="0" w:space="0" w:color="auto"/>
            <w:bottom w:val="none" w:sz="0" w:space="0" w:color="auto"/>
            <w:right w:val="none" w:sz="0" w:space="0" w:color="auto"/>
          </w:divBdr>
        </w:div>
        <w:div w:id="390271014">
          <w:marLeft w:val="1166"/>
          <w:marRight w:val="0"/>
          <w:marTop w:val="96"/>
          <w:marBottom w:val="0"/>
          <w:divBdr>
            <w:top w:val="none" w:sz="0" w:space="0" w:color="auto"/>
            <w:left w:val="none" w:sz="0" w:space="0" w:color="auto"/>
            <w:bottom w:val="none" w:sz="0" w:space="0" w:color="auto"/>
            <w:right w:val="none" w:sz="0" w:space="0" w:color="auto"/>
          </w:divBdr>
        </w:div>
        <w:div w:id="390271019">
          <w:marLeft w:val="547"/>
          <w:marRight w:val="0"/>
          <w:marTop w:val="96"/>
          <w:marBottom w:val="0"/>
          <w:divBdr>
            <w:top w:val="none" w:sz="0" w:space="0" w:color="auto"/>
            <w:left w:val="none" w:sz="0" w:space="0" w:color="auto"/>
            <w:bottom w:val="none" w:sz="0" w:space="0" w:color="auto"/>
            <w:right w:val="none" w:sz="0" w:space="0" w:color="auto"/>
          </w:divBdr>
        </w:div>
      </w:divsChild>
    </w:div>
    <w:div w:id="390271015">
      <w:marLeft w:val="0"/>
      <w:marRight w:val="0"/>
      <w:marTop w:val="0"/>
      <w:marBottom w:val="0"/>
      <w:divBdr>
        <w:top w:val="none" w:sz="0" w:space="0" w:color="auto"/>
        <w:left w:val="none" w:sz="0" w:space="0" w:color="auto"/>
        <w:bottom w:val="none" w:sz="0" w:space="0" w:color="auto"/>
        <w:right w:val="none" w:sz="0" w:space="0" w:color="auto"/>
      </w:divBdr>
      <w:divsChild>
        <w:div w:id="390271006">
          <w:marLeft w:val="1440"/>
          <w:marRight w:val="0"/>
          <w:marTop w:val="77"/>
          <w:marBottom w:val="0"/>
          <w:divBdr>
            <w:top w:val="none" w:sz="0" w:space="0" w:color="auto"/>
            <w:left w:val="none" w:sz="0" w:space="0" w:color="auto"/>
            <w:bottom w:val="none" w:sz="0" w:space="0" w:color="auto"/>
            <w:right w:val="none" w:sz="0" w:space="0" w:color="auto"/>
          </w:divBdr>
        </w:div>
        <w:div w:id="390271028">
          <w:marLeft w:val="1440"/>
          <w:marRight w:val="0"/>
          <w:marTop w:val="77"/>
          <w:marBottom w:val="0"/>
          <w:divBdr>
            <w:top w:val="none" w:sz="0" w:space="0" w:color="auto"/>
            <w:left w:val="none" w:sz="0" w:space="0" w:color="auto"/>
            <w:bottom w:val="none" w:sz="0" w:space="0" w:color="auto"/>
            <w:right w:val="none" w:sz="0" w:space="0" w:color="auto"/>
          </w:divBdr>
        </w:div>
        <w:div w:id="390271033">
          <w:marLeft w:val="1440"/>
          <w:marRight w:val="0"/>
          <w:marTop w:val="77"/>
          <w:marBottom w:val="0"/>
          <w:divBdr>
            <w:top w:val="none" w:sz="0" w:space="0" w:color="auto"/>
            <w:left w:val="none" w:sz="0" w:space="0" w:color="auto"/>
            <w:bottom w:val="none" w:sz="0" w:space="0" w:color="auto"/>
            <w:right w:val="none" w:sz="0" w:space="0" w:color="auto"/>
          </w:divBdr>
        </w:div>
      </w:divsChild>
    </w:div>
    <w:div w:id="390271018">
      <w:marLeft w:val="0"/>
      <w:marRight w:val="0"/>
      <w:marTop w:val="0"/>
      <w:marBottom w:val="0"/>
      <w:divBdr>
        <w:top w:val="none" w:sz="0" w:space="0" w:color="auto"/>
        <w:left w:val="none" w:sz="0" w:space="0" w:color="auto"/>
        <w:bottom w:val="none" w:sz="0" w:space="0" w:color="auto"/>
        <w:right w:val="none" w:sz="0" w:space="0" w:color="auto"/>
      </w:divBdr>
    </w:div>
    <w:div w:id="390271022">
      <w:marLeft w:val="0"/>
      <w:marRight w:val="0"/>
      <w:marTop w:val="0"/>
      <w:marBottom w:val="0"/>
      <w:divBdr>
        <w:top w:val="none" w:sz="0" w:space="0" w:color="auto"/>
        <w:left w:val="none" w:sz="0" w:space="0" w:color="auto"/>
        <w:bottom w:val="none" w:sz="0" w:space="0" w:color="auto"/>
        <w:right w:val="none" w:sz="0" w:space="0" w:color="auto"/>
      </w:divBdr>
    </w:div>
    <w:div w:id="390271023">
      <w:marLeft w:val="0"/>
      <w:marRight w:val="0"/>
      <w:marTop w:val="0"/>
      <w:marBottom w:val="0"/>
      <w:divBdr>
        <w:top w:val="none" w:sz="0" w:space="0" w:color="auto"/>
        <w:left w:val="none" w:sz="0" w:space="0" w:color="auto"/>
        <w:bottom w:val="none" w:sz="0" w:space="0" w:color="auto"/>
        <w:right w:val="none" w:sz="0" w:space="0" w:color="auto"/>
      </w:divBdr>
    </w:div>
    <w:div w:id="390271024">
      <w:marLeft w:val="0"/>
      <w:marRight w:val="0"/>
      <w:marTop w:val="0"/>
      <w:marBottom w:val="0"/>
      <w:divBdr>
        <w:top w:val="none" w:sz="0" w:space="0" w:color="auto"/>
        <w:left w:val="none" w:sz="0" w:space="0" w:color="auto"/>
        <w:bottom w:val="none" w:sz="0" w:space="0" w:color="auto"/>
        <w:right w:val="none" w:sz="0" w:space="0" w:color="auto"/>
      </w:divBdr>
    </w:div>
    <w:div w:id="390271026">
      <w:marLeft w:val="0"/>
      <w:marRight w:val="0"/>
      <w:marTop w:val="0"/>
      <w:marBottom w:val="0"/>
      <w:divBdr>
        <w:top w:val="none" w:sz="0" w:space="0" w:color="auto"/>
        <w:left w:val="none" w:sz="0" w:space="0" w:color="auto"/>
        <w:bottom w:val="none" w:sz="0" w:space="0" w:color="auto"/>
        <w:right w:val="none" w:sz="0" w:space="0" w:color="auto"/>
      </w:divBdr>
    </w:div>
    <w:div w:id="390271027">
      <w:marLeft w:val="0"/>
      <w:marRight w:val="0"/>
      <w:marTop w:val="0"/>
      <w:marBottom w:val="0"/>
      <w:divBdr>
        <w:top w:val="none" w:sz="0" w:space="0" w:color="auto"/>
        <w:left w:val="none" w:sz="0" w:space="0" w:color="auto"/>
        <w:bottom w:val="none" w:sz="0" w:space="0" w:color="auto"/>
        <w:right w:val="none" w:sz="0" w:space="0" w:color="auto"/>
      </w:divBdr>
    </w:div>
    <w:div w:id="390271029">
      <w:marLeft w:val="0"/>
      <w:marRight w:val="0"/>
      <w:marTop w:val="0"/>
      <w:marBottom w:val="0"/>
      <w:divBdr>
        <w:top w:val="none" w:sz="0" w:space="0" w:color="auto"/>
        <w:left w:val="none" w:sz="0" w:space="0" w:color="auto"/>
        <w:bottom w:val="none" w:sz="0" w:space="0" w:color="auto"/>
        <w:right w:val="none" w:sz="0" w:space="0" w:color="auto"/>
      </w:divBdr>
      <w:divsChild>
        <w:div w:id="390271007">
          <w:marLeft w:val="547"/>
          <w:marRight w:val="0"/>
          <w:marTop w:val="115"/>
          <w:marBottom w:val="0"/>
          <w:divBdr>
            <w:top w:val="none" w:sz="0" w:space="0" w:color="auto"/>
            <w:left w:val="none" w:sz="0" w:space="0" w:color="auto"/>
            <w:bottom w:val="none" w:sz="0" w:space="0" w:color="auto"/>
            <w:right w:val="none" w:sz="0" w:space="0" w:color="auto"/>
          </w:divBdr>
        </w:div>
        <w:div w:id="390271016">
          <w:marLeft w:val="547"/>
          <w:marRight w:val="0"/>
          <w:marTop w:val="115"/>
          <w:marBottom w:val="0"/>
          <w:divBdr>
            <w:top w:val="none" w:sz="0" w:space="0" w:color="auto"/>
            <w:left w:val="none" w:sz="0" w:space="0" w:color="auto"/>
            <w:bottom w:val="none" w:sz="0" w:space="0" w:color="auto"/>
            <w:right w:val="none" w:sz="0" w:space="0" w:color="auto"/>
          </w:divBdr>
        </w:div>
        <w:div w:id="390271021">
          <w:marLeft w:val="547"/>
          <w:marRight w:val="0"/>
          <w:marTop w:val="115"/>
          <w:marBottom w:val="0"/>
          <w:divBdr>
            <w:top w:val="none" w:sz="0" w:space="0" w:color="auto"/>
            <w:left w:val="none" w:sz="0" w:space="0" w:color="auto"/>
            <w:bottom w:val="none" w:sz="0" w:space="0" w:color="auto"/>
            <w:right w:val="none" w:sz="0" w:space="0" w:color="auto"/>
          </w:divBdr>
        </w:div>
        <w:div w:id="390271025">
          <w:marLeft w:val="547"/>
          <w:marRight w:val="0"/>
          <w:marTop w:val="115"/>
          <w:marBottom w:val="0"/>
          <w:divBdr>
            <w:top w:val="none" w:sz="0" w:space="0" w:color="auto"/>
            <w:left w:val="none" w:sz="0" w:space="0" w:color="auto"/>
            <w:bottom w:val="none" w:sz="0" w:space="0" w:color="auto"/>
            <w:right w:val="none" w:sz="0" w:space="0" w:color="auto"/>
          </w:divBdr>
        </w:div>
      </w:divsChild>
    </w:div>
    <w:div w:id="390271032">
      <w:marLeft w:val="0"/>
      <w:marRight w:val="0"/>
      <w:marTop w:val="0"/>
      <w:marBottom w:val="0"/>
      <w:divBdr>
        <w:top w:val="none" w:sz="0" w:space="0" w:color="auto"/>
        <w:left w:val="none" w:sz="0" w:space="0" w:color="auto"/>
        <w:bottom w:val="none" w:sz="0" w:space="0" w:color="auto"/>
        <w:right w:val="none" w:sz="0" w:space="0" w:color="auto"/>
      </w:divBdr>
      <w:divsChild>
        <w:div w:id="390270968">
          <w:marLeft w:val="360"/>
          <w:marRight w:val="0"/>
          <w:marTop w:val="0"/>
          <w:marBottom w:val="0"/>
          <w:divBdr>
            <w:top w:val="none" w:sz="0" w:space="0" w:color="auto"/>
            <w:left w:val="none" w:sz="0" w:space="0" w:color="auto"/>
            <w:bottom w:val="none" w:sz="0" w:space="0" w:color="auto"/>
            <w:right w:val="none" w:sz="0" w:space="0" w:color="auto"/>
          </w:divBdr>
        </w:div>
        <w:div w:id="390271000">
          <w:marLeft w:val="360"/>
          <w:marRight w:val="0"/>
          <w:marTop w:val="0"/>
          <w:marBottom w:val="0"/>
          <w:divBdr>
            <w:top w:val="none" w:sz="0" w:space="0" w:color="auto"/>
            <w:left w:val="none" w:sz="0" w:space="0" w:color="auto"/>
            <w:bottom w:val="none" w:sz="0" w:space="0" w:color="auto"/>
            <w:right w:val="none" w:sz="0" w:space="0" w:color="auto"/>
          </w:divBdr>
        </w:div>
        <w:div w:id="390271017">
          <w:marLeft w:val="360"/>
          <w:marRight w:val="0"/>
          <w:marTop w:val="0"/>
          <w:marBottom w:val="0"/>
          <w:divBdr>
            <w:top w:val="none" w:sz="0" w:space="0" w:color="auto"/>
            <w:left w:val="none" w:sz="0" w:space="0" w:color="auto"/>
            <w:bottom w:val="none" w:sz="0" w:space="0" w:color="auto"/>
            <w:right w:val="none" w:sz="0" w:space="0" w:color="auto"/>
          </w:divBdr>
        </w:div>
        <w:div w:id="390271030">
          <w:marLeft w:val="360"/>
          <w:marRight w:val="0"/>
          <w:marTop w:val="0"/>
          <w:marBottom w:val="0"/>
          <w:divBdr>
            <w:top w:val="none" w:sz="0" w:space="0" w:color="auto"/>
            <w:left w:val="none" w:sz="0" w:space="0" w:color="auto"/>
            <w:bottom w:val="none" w:sz="0" w:space="0" w:color="auto"/>
            <w:right w:val="none" w:sz="0" w:space="0" w:color="auto"/>
          </w:divBdr>
        </w:div>
      </w:divsChild>
    </w:div>
    <w:div w:id="390271034">
      <w:marLeft w:val="0"/>
      <w:marRight w:val="0"/>
      <w:marTop w:val="0"/>
      <w:marBottom w:val="0"/>
      <w:divBdr>
        <w:top w:val="none" w:sz="0" w:space="0" w:color="auto"/>
        <w:left w:val="none" w:sz="0" w:space="0" w:color="auto"/>
        <w:bottom w:val="none" w:sz="0" w:space="0" w:color="auto"/>
        <w:right w:val="none" w:sz="0" w:space="0" w:color="auto"/>
      </w:divBdr>
    </w:div>
    <w:div w:id="390271035">
      <w:marLeft w:val="0"/>
      <w:marRight w:val="0"/>
      <w:marTop w:val="0"/>
      <w:marBottom w:val="0"/>
      <w:divBdr>
        <w:top w:val="none" w:sz="0" w:space="0" w:color="auto"/>
        <w:left w:val="none" w:sz="0" w:space="0" w:color="auto"/>
        <w:bottom w:val="none" w:sz="0" w:space="0" w:color="auto"/>
        <w:right w:val="none" w:sz="0" w:space="0" w:color="auto"/>
      </w:divBdr>
    </w:div>
    <w:div w:id="390271036">
      <w:marLeft w:val="0"/>
      <w:marRight w:val="0"/>
      <w:marTop w:val="0"/>
      <w:marBottom w:val="0"/>
      <w:divBdr>
        <w:top w:val="none" w:sz="0" w:space="0" w:color="auto"/>
        <w:left w:val="none" w:sz="0" w:space="0" w:color="auto"/>
        <w:bottom w:val="none" w:sz="0" w:space="0" w:color="auto"/>
        <w:right w:val="none" w:sz="0" w:space="0" w:color="auto"/>
      </w:divBdr>
    </w:div>
    <w:div w:id="390271037">
      <w:marLeft w:val="0"/>
      <w:marRight w:val="0"/>
      <w:marTop w:val="0"/>
      <w:marBottom w:val="0"/>
      <w:divBdr>
        <w:top w:val="none" w:sz="0" w:space="0" w:color="auto"/>
        <w:left w:val="none" w:sz="0" w:space="0" w:color="auto"/>
        <w:bottom w:val="none" w:sz="0" w:space="0" w:color="auto"/>
        <w:right w:val="none" w:sz="0" w:space="0" w:color="auto"/>
      </w:divBdr>
    </w:div>
    <w:div w:id="390271038">
      <w:marLeft w:val="0"/>
      <w:marRight w:val="0"/>
      <w:marTop w:val="0"/>
      <w:marBottom w:val="0"/>
      <w:divBdr>
        <w:top w:val="none" w:sz="0" w:space="0" w:color="auto"/>
        <w:left w:val="none" w:sz="0" w:space="0" w:color="auto"/>
        <w:bottom w:val="none" w:sz="0" w:space="0" w:color="auto"/>
        <w:right w:val="none" w:sz="0" w:space="0" w:color="auto"/>
      </w:divBdr>
      <w:divsChild>
        <w:div w:id="390271055">
          <w:marLeft w:val="806"/>
          <w:marRight w:val="0"/>
          <w:marTop w:val="154"/>
          <w:marBottom w:val="0"/>
          <w:divBdr>
            <w:top w:val="none" w:sz="0" w:space="0" w:color="auto"/>
            <w:left w:val="none" w:sz="0" w:space="0" w:color="auto"/>
            <w:bottom w:val="none" w:sz="0" w:space="0" w:color="auto"/>
            <w:right w:val="none" w:sz="0" w:space="0" w:color="auto"/>
          </w:divBdr>
        </w:div>
        <w:div w:id="390271061">
          <w:marLeft w:val="806"/>
          <w:marRight w:val="0"/>
          <w:marTop w:val="154"/>
          <w:marBottom w:val="0"/>
          <w:divBdr>
            <w:top w:val="none" w:sz="0" w:space="0" w:color="auto"/>
            <w:left w:val="none" w:sz="0" w:space="0" w:color="auto"/>
            <w:bottom w:val="none" w:sz="0" w:space="0" w:color="auto"/>
            <w:right w:val="none" w:sz="0" w:space="0" w:color="auto"/>
          </w:divBdr>
        </w:div>
      </w:divsChild>
    </w:div>
    <w:div w:id="390271040">
      <w:marLeft w:val="0"/>
      <w:marRight w:val="0"/>
      <w:marTop w:val="0"/>
      <w:marBottom w:val="0"/>
      <w:divBdr>
        <w:top w:val="none" w:sz="0" w:space="0" w:color="auto"/>
        <w:left w:val="none" w:sz="0" w:space="0" w:color="auto"/>
        <w:bottom w:val="none" w:sz="0" w:space="0" w:color="auto"/>
        <w:right w:val="none" w:sz="0" w:space="0" w:color="auto"/>
      </w:divBdr>
    </w:div>
    <w:div w:id="390271041">
      <w:marLeft w:val="0"/>
      <w:marRight w:val="0"/>
      <w:marTop w:val="0"/>
      <w:marBottom w:val="0"/>
      <w:divBdr>
        <w:top w:val="none" w:sz="0" w:space="0" w:color="auto"/>
        <w:left w:val="none" w:sz="0" w:space="0" w:color="auto"/>
        <w:bottom w:val="none" w:sz="0" w:space="0" w:color="auto"/>
        <w:right w:val="none" w:sz="0" w:space="0" w:color="auto"/>
      </w:divBdr>
    </w:div>
    <w:div w:id="390271042">
      <w:marLeft w:val="0"/>
      <w:marRight w:val="0"/>
      <w:marTop w:val="0"/>
      <w:marBottom w:val="0"/>
      <w:divBdr>
        <w:top w:val="none" w:sz="0" w:space="0" w:color="auto"/>
        <w:left w:val="none" w:sz="0" w:space="0" w:color="auto"/>
        <w:bottom w:val="none" w:sz="0" w:space="0" w:color="auto"/>
        <w:right w:val="none" w:sz="0" w:space="0" w:color="auto"/>
      </w:divBdr>
      <w:divsChild>
        <w:div w:id="390270953">
          <w:marLeft w:val="1440"/>
          <w:marRight w:val="0"/>
          <w:marTop w:val="120"/>
          <w:marBottom w:val="0"/>
          <w:divBdr>
            <w:top w:val="none" w:sz="0" w:space="0" w:color="auto"/>
            <w:left w:val="none" w:sz="0" w:space="0" w:color="auto"/>
            <w:bottom w:val="none" w:sz="0" w:space="0" w:color="auto"/>
            <w:right w:val="none" w:sz="0" w:space="0" w:color="auto"/>
          </w:divBdr>
        </w:div>
        <w:div w:id="390270954">
          <w:marLeft w:val="1440"/>
          <w:marRight w:val="0"/>
          <w:marTop w:val="120"/>
          <w:marBottom w:val="0"/>
          <w:divBdr>
            <w:top w:val="none" w:sz="0" w:space="0" w:color="auto"/>
            <w:left w:val="none" w:sz="0" w:space="0" w:color="auto"/>
            <w:bottom w:val="none" w:sz="0" w:space="0" w:color="auto"/>
            <w:right w:val="none" w:sz="0" w:space="0" w:color="auto"/>
          </w:divBdr>
        </w:div>
        <w:div w:id="390271046">
          <w:marLeft w:val="1800"/>
          <w:marRight w:val="0"/>
          <w:marTop w:val="101"/>
          <w:marBottom w:val="0"/>
          <w:divBdr>
            <w:top w:val="none" w:sz="0" w:space="0" w:color="auto"/>
            <w:left w:val="none" w:sz="0" w:space="0" w:color="auto"/>
            <w:bottom w:val="none" w:sz="0" w:space="0" w:color="auto"/>
            <w:right w:val="none" w:sz="0" w:space="0" w:color="auto"/>
          </w:divBdr>
        </w:div>
        <w:div w:id="390271048">
          <w:marLeft w:val="1440"/>
          <w:marRight w:val="0"/>
          <w:marTop w:val="120"/>
          <w:marBottom w:val="0"/>
          <w:divBdr>
            <w:top w:val="none" w:sz="0" w:space="0" w:color="auto"/>
            <w:left w:val="none" w:sz="0" w:space="0" w:color="auto"/>
            <w:bottom w:val="none" w:sz="0" w:space="0" w:color="auto"/>
            <w:right w:val="none" w:sz="0" w:space="0" w:color="auto"/>
          </w:divBdr>
        </w:div>
        <w:div w:id="390271052">
          <w:marLeft w:val="1440"/>
          <w:marRight w:val="0"/>
          <w:marTop w:val="120"/>
          <w:marBottom w:val="0"/>
          <w:divBdr>
            <w:top w:val="none" w:sz="0" w:space="0" w:color="auto"/>
            <w:left w:val="none" w:sz="0" w:space="0" w:color="auto"/>
            <w:bottom w:val="none" w:sz="0" w:space="0" w:color="auto"/>
            <w:right w:val="none" w:sz="0" w:space="0" w:color="auto"/>
          </w:divBdr>
        </w:div>
        <w:div w:id="390271060">
          <w:marLeft w:val="806"/>
          <w:marRight w:val="0"/>
          <w:marTop w:val="120"/>
          <w:marBottom w:val="0"/>
          <w:divBdr>
            <w:top w:val="none" w:sz="0" w:space="0" w:color="auto"/>
            <w:left w:val="none" w:sz="0" w:space="0" w:color="auto"/>
            <w:bottom w:val="none" w:sz="0" w:space="0" w:color="auto"/>
            <w:right w:val="none" w:sz="0" w:space="0" w:color="auto"/>
          </w:divBdr>
        </w:div>
      </w:divsChild>
    </w:div>
    <w:div w:id="390271044">
      <w:marLeft w:val="0"/>
      <w:marRight w:val="0"/>
      <w:marTop w:val="0"/>
      <w:marBottom w:val="0"/>
      <w:divBdr>
        <w:top w:val="none" w:sz="0" w:space="0" w:color="auto"/>
        <w:left w:val="none" w:sz="0" w:space="0" w:color="auto"/>
        <w:bottom w:val="none" w:sz="0" w:space="0" w:color="auto"/>
        <w:right w:val="none" w:sz="0" w:space="0" w:color="auto"/>
      </w:divBdr>
    </w:div>
    <w:div w:id="390271045">
      <w:marLeft w:val="0"/>
      <w:marRight w:val="0"/>
      <w:marTop w:val="0"/>
      <w:marBottom w:val="0"/>
      <w:divBdr>
        <w:top w:val="none" w:sz="0" w:space="0" w:color="auto"/>
        <w:left w:val="none" w:sz="0" w:space="0" w:color="auto"/>
        <w:bottom w:val="none" w:sz="0" w:space="0" w:color="auto"/>
        <w:right w:val="none" w:sz="0" w:space="0" w:color="auto"/>
      </w:divBdr>
    </w:div>
    <w:div w:id="390271047">
      <w:marLeft w:val="0"/>
      <w:marRight w:val="0"/>
      <w:marTop w:val="0"/>
      <w:marBottom w:val="0"/>
      <w:divBdr>
        <w:top w:val="none" w:sz="0" w:space="0" w:color="auto"/>
        <w:left w:val="none" w:sz="0" w:space="0" w:color="auto"/>
        <w:bottom w:val="none" w:sz="0" w:space="0" w:color="auto"/>
        <w:right w:val="none" w:sz="0" w:space="0" w:color="auto"/>
      </w:divBdr>
    </w:div>
    <w:div w:id="390271053">
      <w:marLeft w:val="0"/>
      <w:marRight w:val="0"/>
      <w:marTop w:val="0"/>
      <w:marBottom w:val="0"/>
      <w:divBdr>
        <w:top w:val="none" w:sz="0" w:space="0" w:color="auto"/>
        <w:left w:val="none" w:sz="0" w:space="0" w:color="auto"/>
        <w:bottom w:val="none" w:sz="0" w:space="0" w:color="auto"/>
        <w:right w:val="none" w:sz="0" w:space="0" w:color="auto"/>
      </w:divBdr>
      <w:divsChild>
        <w:div w:id="390271050">
          <w:marLeft w:val="547"/>
          <w:marRight w:val="0"/>
          <w:marTop w:val="115"/>
          <w:marBottom w:val="0"/>
          <w:divBdr>
            <w:top w:val="none" w:sz="0" w:space="0" w:color="auto"/>
            <w:left w:val="none" w:sz="0" w:space="0" w:color="auto"/>
            <w:bottom w:val="none" w:sz="0" w:space="0" w:color="auto"/>
            <w:right w:val="none" w:sz="0" w:space="0" w:color="auto"/>
          </w:divBdr>
        </w:div>
      </w:divsChild>
    </w:div>
    <w:div w:id="390271054">
      <w:marLeft w:val="0"/>
      <w:marRight w:val="0"/>
      <w:marTop w:val="0"/>
      <w:marBottom w:val="0"/>
      <w:divBdr>
        <w:top w:val="none" w:sz="0" w:space="0" w:color="auto"/>
        <w:left w:val="none" w:sz="0" w:space="0" w:color="auto"/>
        <w:bottom w:val="none" w:sz="0" w:space="0" w:color="auto"/>
        <w:right w:val="none" w:sz="0" w:space="0" w:color="auto"/>
      </w:divBdr>
      <w:divsChild>
        <w:div w:id="390270959">
          <w:marLeft w:val="360"/>
          <w:marRight w:val="0"/>
          <w:marTop w:val="0"/>
          <w:marBottom w:val="0"/>
          <w:divBdr>
            <w:top w:val="none" w:sz="0" w:space="0" w:color="auto"/>
            <w:left w:val="none" w:sz="0" w:space="0" w:color="auto"/>
            <w:bottom w:val="none" w:sz="0" w:space="0" w:color="auto"/>
            <w:right w:val="none" w:sz="0" w:space="0" w:color="auto"/>
          </w:divBdr>
        </w:div>
        <w:div w:id="390271039">
          <w:marLeft w:val="360"/>
          <w:marRight w:val="0"/>
          <w:marTop w:val="0"/>
          <w:marBottom w:val="0"/>
          <w:divBdr>
            <w:top w:val="none" w:sz="0" w:space="0" w:color="auto"/>
            <w:left w:val="none" w:sz="0" w:space="0" w:color="auto"/>
            <w:bottom w:val="none" w:sz="0" w:space="0" w:color="auto"/>
            <w:right w:val="none" w:sz="0" w:space="0" w:color="auto"/>
          </w:divBdr>
        </w:div>
        <w:div w:id="390271056">
          <w:marLeft w:val="360"/>
          <w:marRight w:val="0"/>
          <w:marTop w:val="0"/>
          <w:marBottom w:val="0"/>
          <w:divBdr>
            <w:top w:val="none" w:sz="0" w:space="0" w:color="auto"/>
            <w:left w:val="none" w:sz="0" w:space="0" w:color="auto"/>
            <w:bottom w:val="none" w:sz="0" w:space="0" w:color="auto"/>
            <w:right w:val="none" w:sz="0" w:space="0" w:color="auto"/>
          </w:divBdr>
        </w:div>
        <w:div w:id="390271058">
          <w:marLeft w:val="360"/>
          <w:marRight w:val="0"/>
          <w:marTop w:val="0"/>
          <w:marBottom w:val="0"/>
          <w:divBdr>
            <w:top w:val="none" w:sz="0" w:space="0" w:color="auto"/>
            <w:left w:val="none" w:sz="0" w:space="0" w:color="auto"/>
            <w:bottom w:val="none" w:sz="0" w:space="0" w:color="auto"/>
            <w:right w:val="none" w:sz="0" w:space="0" w:color="auto"/>
          </w:divBdr>
        </w:div>
        <w:div w:id="390271062">
          <w:marLeft w:val="360"/>
          <w:marRight w:val="0"/>
          <w:marTop w:val="0"/>
          <w:marBottom w:val="0"/>
          <w:divBdr>
            <w:top w:val="none" w:sz="0" w:space="0" w:color="auto"/>
            <w:left w:val="none" w:sz="0" w:space="0" w:color="auto"/>
            <w:bottom w:val="none" w:sz="0" w:space="0" w:color="auto"/>
            <w:right w:val="none" w:sz="0" w:space="0" w:color="auto"/>
          </w:divBdr>
        </w:div>
        <w:div w:id="390271063">
          <w:marLeft w:val="360"/>
          <w:marRight w:val="0"/>
          <w:marTop w:val="0"/>
          <w:marBottom w:val="0"/>
          <w:divBdr>
            <w:top w:val="none" w:sz="0" w:space="0" w:color="auto"/>
            <w:left w:val="none" w:sz="0" w:space="0" w:color="auto"/>
            <w:bottom w:val="none" w:sz="0" w:space="0" w:color="auto"/>
            <w:right w:val="none" w:sz="0" w:space="0" w:color="auto"/>
          </w:divBdr>
        </w:div>
      </w:divsChild>
    </w:div>
    <w:div w:id="390271064">
      <w:marLeft w:val="0"/>
      <w:marRight w:val="0"/>
      <w:marTop w:val="0"/>
      <w:marBottom w:val="0"/>
      <w:divBdr>
        <w:top w:val="none" w:sz="0" w:space="0" w:color="auto"/>
        <w:left w:val="none" w:sz="0" w:space="0" w:color="auto"/>
        <w:bottom w:val="none" w:sz="0" w:space="0" w:color="auto"/>
        <w:right w:val="none" w:sz="0" w:space="0" w:color="auto"/>
      </w:divBdr>
    </w:div>
    <w:div w:id="390271065">
      <w:marLeft w:val="0"/>
      <w:marRight w:val="0"/>
      <w:marTop w:val="0"/>
      <w:marBottom w:val="0"/>
      <w:divBdr>
        <w:top w:val="none" w:sz="0" w:space="0" w:color="auto"/>
        <w:left w:val="none" w:sz="0" w:space="0" w:color="auto"/>
        <w:bottom w:val="none" w:sz="0" w:space="0" w:color="auto"/>
        <w:right w:val="none" w:sz="0" w:space="0" w:color="auto"/>
      </w:divBdr>
    </w:div>
    <w:div w:id="390271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ltramo@berkele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vine@haas.berkeley.edu"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ho.int/indoorair/en/" TargetMode="External"/><Relationship Id="rId4" Type="http://schemas.openxmlformats.org/officeDocument/2006/relationships/webSettings" Target="webSettings.xml"/><Relationship Id="rId9" Type="http://schemas.openxmlformats.org/officeDocument/2006/relationships/hyperlink" Target="http://www.hedon.info/Improvedcooksto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6605</Words>
  <Characters>37654</Characters>
  <Application>Microsoft Office Word</Application>
  <DocSecurity>0</DocSecurity>
  <Lines>313</Lines>
  <Paragraphs>88</Paragraphs>
  <ScaleCrop>false</ScaleCrop>
  <Company>Haas School of Business</Company>
  <LinksUpToDate>false</LinksUpToDate>
  <CharactersWithSpaces>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Ovens and their Impacts on Health, Fuel Use and Technology Adoption- A Case Study</dc:title>
  <dc:creator>Theresa</dc:creator>
  <cp:lastModifiedBy>David Levine</cp:lastModifiedBy>
  <cp:revision>2</cp:revision>
  <cp:lastPrinted>2011-01-14T01:18:00Z</cp:lastPrinted>
  <dcterms:created xsi:type="dcterms:W3CDTF">2011-04-12T17:40:00Z</dcterms:created>
  <dcterms:modified xsi:type="dcterms:W3CDTF">2011-04-12T17:40:00Z</dcterms:modified>
</cp:coreProperties>
</file>